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  <w:r w:rsidR="0013521C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13521C">
        <w:rPr>
          <w:rFonts w:ascii="Times New Roman" w:hAnsi="Times New Roman" w:cs="Times New Roman"/>
          <w:b/>
          <w:caps/>
          <w:sz w:val="24"/>
          <w:szCs w:val="24"/>
        </w:rPr>
        <w:t>УПРАВЛІННЯ ТА АДМІНІСТРУВАННЯ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Default="00623379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 </w:t>
            </w:r>
          </w:p>
          <w:p w:rsidR="00405857" w:rsidRPr="003D6582" w:rsidRDefault="00E94B61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D639E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4D639E" w:rsidRDefault="00675B26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073 Менеджмент «Управління навчальними закладами»</w:t>
            </w:r>
          </w:p>
          <w:p w:rsidR="00405857" w:rsidRPr="003D6582" w:rsidRDefault="00675B26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FD2DE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>202</w:t>
            </w:r>
            <w:r w:rsidR="00FD2DEC">
              <w:rPr>
                <w:i/>
              </w:rPr>
              <w:t>3</w:t>
            </w:r>
            <w:r w:rsidRPr="005E44FD">
              <w:rPr>
                <w:i/>
              </w:rPr>
              <w:t>-202</w:t>
            </w:r>
            <w:r w:rsidR="00FD2DEC">
              <w:rPr>
                <w:i/>
              </w:rPr>
              <w:t>4</w:t>
            </w:r>
            <w:r w:rsidRPr="005E44FD">
              <w:rPr>
                <w:i/>
              </w:rPr>
              <w:t xml:space="preserve">/ </w:t>
            </w:r>
            <w:r>
              <w:rPr>
                <w:i/>
              </w:rPr>
              <w:t xml:space="preserve">І </w:t>
            </w:r>
            <w:r w:rsidRPr="005E44FD">
              <w:rPr>
                <w:i/>
              </w:rPr>
              <w:t xml:space="preserve">семестр / </w:t>
            </w:r>
            <w:r>
              <w:rPr>
                <w:i/>
              </w:rPr>
              <w:t>1</w:t>
            </w:r>
            <w:r w:rsidRPr="005E44FD">
              <w:rPr>
                <w:i/>
              </w:rPr>
              <w:t xml:space="preserve"> 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4D639E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С.О</w:t>
            </w:r>
            <w:r w:rsidR="0040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E94B61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61">
              <w:rPr>
                <w:rFonts w:ascii="Times New Roman" w:hAnsi="Times New Roman" w:cs="Times New Roman"/>
                <w:sz w:val="24"/>
                <w:szCs w:val="24"/>
              </w:rPr>
              <w:t>https://fim.mdpu.org.ua/osypenko-svitlana-oleksandrivna/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575B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098 966 34 82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575B5A" w:rsidRDefault="00575B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Osypenko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911A2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5">
              <w:rPr>
                <w:rFonts w:ascii="Times New Roman" w:hAnsi="Times New Roman" w:cs="Times New Roman"/>
                <w:sz w:val="24"/>
                <w:szCs w:val="24"/>
              </w:rPr>
              <w:t>https://dfn.mdpu.org.ua/course/view.php?id=281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51592" w:rsidRPr="00B852D0" w:rsidRDefault="005A0115" w:rsidP="00FF4A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C0B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563C0B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563C0B">
        <w:rPr>
          <w:rFonts w:ascii="Times New Roman" w:hAnsi="Times New Roman" w:cs="Times New Roman"/>
          <w:sz w:val="24"/>
          <w:szCs w:val="24"/>
        </w:rPr>
        <w:t>«</w:t>
      </w:r>
      <w:r w:rsidR="00623379">
        <w:rPr>
          <w:rFonts w:ascii="Times New Roman" w:hAnsi="Times New Roman" w:cs="Times New Roman"/>
          <w:sz w:val="24"/>
          <w:szCs w:val="24"/>
        </w:rPr>
        <w:t xml:space="preserve">Наукова та </w:t>
      </w:r>
      <w:proofErr w:type="spellStart"/>
      <w:r w:rsidR="00623379">
        <w:rPr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="00623379">
        <w:rPr>
          <w:rFonts w:ascii="Times New Roman" w:hAnsi="Times New Roman" w:cs="Times New Roman"/>
          <w:sz w:val="24"/>
          <w:szCs w:val="24"/>
        </w:rPr>
        <w:t xml:space="preserve"> діяльність</w:t>
      </w:r>
      <w:r w:rsidR="00B66D78" w:rsidRPr="00563C0B">
        <w:rPr>
          <w:rFonts w:ascii="Times New Roman" w:hAnsi="Times New Roman" w:cs="Times New Roman"/>
          <w:sz w:val="24"/>
          <w:szCs w:val="24"/>
        </w:rPr>
        <w:t>»</w:t>
      </w:r>
      <w:r w:rsidR="008A136E" w:rsidRPr="00563C0B">
        <w:rPr>
          <w:rFonts w:ascii="Times New Roman" w:hAnsi="Times New Roman" w:cs="Times New Roman"/>
          <w:sz w:val="24"/>
          <w:szCs w:val="24"/>
        </w:rPr>
        <w:t xml:space="preserve"> </w:t>
      </w:r>
      <w:r w:rsidR="008A136E" w:rsidRPr="00FF4A05">
        <w:rPr>
          <w:rFonts w:ascii="Times New Roman" w:hAnsi="Times New Roman" w:cs="Times New Roman"/>
          <w:sz w:val="24"/>
          <w:szCs w:val="24"/>
        </w:rPr>
        <w:t xml:space="preserve">є </w:t>
      </w:r>
      <w:r w:rsidR="00563C0B" w:rsidRPr="00FF4A05">
        <w:rPr>
          <w:rFonts w:ascii="Times New Roman" w:hAnsi="Times New Roman" w:cs="Times New Roman"/>
          <w:sz w:val="24"/>
          <w:szCs w:val="24"/>
        </w:rPr>
        <w:t>необхідною складовою</w:t>
      </w:r>
      <w:r w:rsidR="003A3FBF" w:rsidRPr="00FF4A05">
        <w:rPr>
          <w:rFonts w:ascii="Times New Roman" w:hAnsi="Times New Roman" w:cs="Times New Roman"/>
          <w:sz w:val="24"/>
          <w:szCs w:val="24"/>
        </w:rPr>
        <w:t xml:space="preserve"> системи підготовки </w:t>
      </w:r>
      <w:r w:rsidR="00AD7570">
        <w:rPr>
          <w:rFonts w:ascii="Times New Roman" w:hAnsi="Times New Roman" w:cs="Times New Roman"/>
          <w:sz w:val="24"/>
          <w:szCs w:val="24"/>
        </w:rPr>
        <w:t>вчителів</w:t>
      </w:r>
      <w:r w:rsidR="003A3FBF" w:rsidRPr="00FF4A05">
        <w:rPr>
          <w:rFonts w:ascii="Times New Roman" w:hAnsi="Times New Roman" w:cs="Times New Roman"/>
          <w:sz w:val="24"/>
          <w:szCs w:val="24"/>
        </w:rPr>
        <w:t xml:space="preserve"> та </w:t>
      </w:r>
      <w:r w:rsidR="00563C0B" w:rsidRPr="00FF4A05">
        <w:rPr>
          <w:rFonts w:ascii="Times New Roman" w:hAnsi="Times New Roman" w:cs="Times New Roman"/>
          <w:sz w:val="24"/>
          <w:szCs w:val="24"/>
        </w:rPr>
        <w:t>майбутніх керівників освітніх закладів</w:t>
      </w:r>
      <w:r w:rsidR="008A136E" w:rsidRPr="00FF4A05">
        <w:rPr>
          <w:rFonts w:ascii="Times New Roman" w:hAnsi="Times New Roman" w:cs="Times New Roman"/>
          <w:sz w:val="24"/>
          <w:szCs w:val="24"/>
        </w:rPr>
        <w:t xml:space="preserve"> за освітньо-к</w:t>
      </w:r>
      <w:r w:rsidR="000F2FBA" w:rsidRPr="00FF4A05">
        <w:rPr>
          <w:rFonts w:ascii="Times New Roman" w:hAnsi="Times New Roman" w:cs="Times New Roman"/>
          <w:sz w:val="24"/>
          <w:szCs w:val="24"/>
        </w:rPr>
        <w:t xml:space="preserve">валіфікаційним рівнем «магістр», адже в умовах децентралізації </w:t>
      </w:r>
      <w:r w:rsidR="00FF4A05" w:rsidRPr="00FF4A05">
        <w:rPr>
          <w:rFonts w:ascii="Times New Roman" w:hAnsi="Times New Roman" w:cs="Times New Roman"/>
          <w:sz w:val="24"/>
          <w:szCs w:val="24"/>
        </w:rPr>
        <w:t xml:space="preserve"> освіти перед сучасним керівником постає ряд завдань щодо залучення коштів саме за рахунок грантових </w:t>
      </w:r>
      <w:r w:rsidR="00C138A4">
        <w:rPr>
          <w:rFonts w:ascii="Times New Roman" w:hAnsi="Times New Roman" w:cs="Times New Roman"/>
          <w:sz w:val="24"/>
          <w:szCs w:val="24"/>
        </w:rPr>
        <w:t xml:space="preserve">та інвестиційних </w:t>
      </w:r>
      <w:proofErr w:type="spellStart"/>
      <w:r w:rsidR="00FF4A05" w:rsidRPr="00FF4A05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8A136E" w:rsidRPr="00FF4A05">
        <w:rPr>
          <w:rFonts w:ascii="Times New Roman" w:hAnsi="Times New Roman" w:cs="Times New Roman"/>
          <w:sz w:val="24"/>
          <w:szCs w:val="24"/>
        </w:rPr>
        <w:t xml:space="preserve">. </w:t>
      </w:r>
      <w:r w:rsidR="00C138A4" w:rsidRPr="00C138A4">
        <w:rPr>
          <w:rFonts w:ascii="Times New Roman" w:hAnsi="Times New Roman" w:cs="Times New Roman"/>
          <w:sz w:val="24"/>
          <w:szCs w:val="24"/>
        </w:rPr>
        <w:t>спрямована на поглиблення у студентів знань щодо специфіки наукових досліджень, вивчення термінології та методології сучасної науки, застосування отриманих знань на практиці в освітньому та дослідницькому процесах. Дисципліна орієнтує на вибір методів та інструментарію наукових досліджень, дотримання принципів академічної доброчесності.</w:t>
      </w:r>
    </w:p>
    <w:p w:rsidR="00D51592" w:rsidRPr="003F5F43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805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B852D0">
        <w:rPr>
          <w:sz w:val="24"/>
          <w:lang w:val="uk-UA"/>
        </w:rPr>
        <w:t xml:space="preserve">Метою викладання навчальної дисципліни </w:t>
      </w:r>
      <w:r w:rsidR="00F60EAB" w:rsidRPr="00166851">
        <w:rPr>
          <w:sz w:val="24"/>
          <w:lang w:val="uk-UA"/>
        </w:rPr>
        <w:t xml:space="preserve">«Наукова та </w:t>
      </w:r>
      <w:proofErr w:type="spellStart"/>
      <w:r w:rsidR="00F60EAB" w:rsidRPr="00166851">
        <w:rPr>
          <w:sz w:val="24"/>
          <w:lang w:val="uk-UA"/>
        </w:rPr>
        <w:t>проєктна</w:t>
      </w:r>
      <w:proofErr w:type="spellEnd"/>
      <w:r w:rsidR="00F60EAB" w:rsidRPr="00166851">
        <w:rPr>
          <w:sz w:val="24"/>
          <w:lang w:val="uk-UA"/>
        </w:rPr>
        <w:t xml:space="preserve"> діяльність»</w:t>
      </w:r>
      <w:r w:rsidRPr="00B852D0">
        <w:rPr>
          <w:sz w:val="24"/>
          <w:lang w:val="uk-UA"/>
        </w:rPr>
        <w:t xml:space="preserve"> є формування </w:t>
      </w:r>
      <w:r w:rsidR="00114234" w:rsidRPr="00114234">
        <w:rPr>
          <w:sz w:val="24"/>
          <w:lang w:val="uk-UA"/>
        </w:rPr>
        <w:t xml:space="preserve">у студентів комплексу знань </w:t>
      </w:r>
      <w:r w:rsidR="00166851" w:rsidRPr="00166851">
        <w:rPr>
          <w:sz w:val="24"/>
          <w:lang w:val="uk-UA"/>
        </w:rPr>
        <w:t>щодо</w:t>
      </w:r>
      <w:r w:rsidR="00166851">
        <w:rPr>
          <w:sz w:val="24"/>
          <w:lang w:val="uk-UA"/>
        </w:rPr>
        <w:t xml:space="preserve"> </w:t>
      </w:r>
      <w:r w:rsidR="0079141D" w:rsidRPr="0079141D">
        <w:rPr>
          <w:sz w:val="24"/>
          <w:lang w:val="uk-UA"/>
        </w:rPr>
        <w:t>проведенн</w:t>
      </w:r>
      <w:r w:rsidR="0079141D">
        <w:rPr>
          <w:sz w:val="24"/>
          <w:lang w:val="uk-UA"/>
        </w:rPr>
        <w:t>я та організації</w:t>
      </w:r>
      <w:r w:rsidR="0079141D" w:rsidRPr="0079141D">
        <w:rPr>
          <w:sz w:val="24"/>
          <w:lang w:val="uk-UA"/>
        </w:rPr>
        <w:t xml:space="preserve"> самостійних кваліфікованих та цілком оригінальних наукових досліджень, прийнятті обґрунтованих рішень </w:t>
      </w:r>
      <w:r w:rsidR="0079141D">
        <w:rPr>
          <w:sz w:val="24"/>
          <w:lang w:val="uk-UA"/>
        </w:rPr>
        <w:t>відносно</w:t>
      </w:r>
      <w:r w:rsidR="0079141D" w:rsidRPr="0079141D">
        <w:rPr>
          <w:sz w:val="24"/>
          <w:lang w:val="uk-UA"/>
        </w:rPr>
        <w:t xml:space="preserve"> обрання відповідного дослідницького інструментарію та шляхів розв’язання науково-прикладних завдань, які виникають під час розробки тієї чи іншої проблеми, а також оволодіння </w:t>
      </w:r>
      <w:proofErr w:type="spellStart"/>
      <w:r w:rsidR="0079141D" w:rsidRPr="0079141D">
        <w:rPr>
          <w:sz w:val="24"/>
          <w:lang w:val="uk-UA"/>
        </w:rPr>
        <w:t>понятійно</w:t>
      </w:r>
      <w:proofErr w:type="spellEnd"/>
      <w:r w:rsidR="0079141D">
        <w:rPr>
          <w:sz w:val="24"/>
          <w:lang w:val="uk-UA"/>
        </w:rPr>
        <w:t>-</w:t>
      </w:r>
      <w:r w:rsidR="0079141D" w:rsidRPr="0079141D">
        <w:rPr>
          <w:sz w:val="24"/>
          <w:lang w:val="uk-UA"/>
        </w:rPr>
        <w:t xml:space="preserve">категоріальним апаратом загальною та спеціальною методологією наукового пізнання, </w:t>
      </w:r>
      <w:r w:rsidR="0079141D">
        <w:rPr>
          <w:sz w:val="24"/>
          <w:lang w:val="uk-UA"/>
        </w:rPr>
        <w:t xml:space="preserve">закладення основ академічної доброчесності. </w:t>
      </w:r>
      <w:r w:rsidR="006E354B">
        <w:rPr>
          <w:sz w:val="24"/>
          <w:lang w:val="uk-UA"/>
        </w:rPr>
        <w:t>Поряд з цим формування комплексу знань відносно мет</w:t>
      </w:r>
      <w:r w:rsidR="00166851" w:rsidRPr="00166851">
        <w:rPr>
          <w:sz w:val="24"/>
          <w:lang w:val="uk-UA"/>
        </w:rPr>
        <w:t xml:space="preserve">одології управління </w:t>
      </w:r>
      <w:proofErr w:type="spellStart"/>
      <w:r w:rsidR="00166851" w:rsidRPr="00166851">
        <w:rPr>
          <w:sz w:val="24"/>
          <w:lang w:val="uk-UA"/>
        </w:rPr>
        <w:t>прок</w:t>
      </w:r>
      <w:r w:rsidR="00166851">
        <w:rPr>
          <w:sz w:val="24"/>
          <w:lang w:val="uk-UA"/>
        </w:rPr>
        <w:t>є</w:t>
      </w:r>
      <w:r w:rsidR="006E354B">
        <w:rPr>
          <w:sz w:val="24"/>
          <w:lang w:val="uk-UA"/>
        </w:rPr>
        <w:t>тами</w:t>
      </w:r>
      <w:proofErr w:type="spellEnd"/>
      <w:r w:rsidR="006E354B">
        <w:rPr>
          <w:sz w:val="24"/>
          <w:lang w:val="uk-UA"/>
        </w:rPr>
        <w:t xml:space="preserve"> та</w:t>
      </w:r>
      <w:r w:rsidR="00166851" w:rsidRPr="00166851">
        <w:rPr>
          <w:sz w:val="24"/>
          <w:lang w:val="uk-UA"/>
        </w:rPr>
        <w:t xml:space="preserve"> програмами, </w:t>
      </w:r>
      <w:r w:rsidR="006E354B">
        <w:rPr>
          <w:sz w:val="24"/>
          <w:lang w:val="uk-UA"/>
        </w:rPr>
        <w:t xml:space="preserve">що базується на науковому підґрунті. </w:t>
      </w:r>
      <w:r w:rsidR="006E354B" w:rsidRPr="00166851">
        <w:rPr>
          <w:sz w:val="24"/>
          <w:lang w:val="uk-UA"/>
        </w:rPr>
        <w:t>Набуття</w:t>
      </w:r>
      <w:r w:rsidR="006E354B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навичок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впровадження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проектних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рішень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у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практичній</w:t>
      </w:r>
      <w:r w:rsidR="00166851">
        <w:rPr>
          <w:sz w:val="24"/>
          <w:lang w:val="uk-UA"/>
        </w:rPr>
        <w:t xml:space="preserve"> </w:t>
      </w:r>
      <w:r w:rsidR="006E354B">
        <w:rPr>
          <w:sz w:val="24"/>
          <w:lang w:val="uk-UA"/>
        </w:rPr>
        <w:t xml:space="preserve">діяльності, </w:t>
      </w:r>
      <w:r w:rsidR="00166851" w:rsidRPr="00166851">
        <w:rPr>
          <w:sz w:val="24"/>
          <w:lang w:val="uk-UA"/>
        </w:rPr>
        <w:t>включаючи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навички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взаємодії учасників</w:t>
      </w:r>
      <w:r w:rsidR="00166851">
        <w:rPr>
          <w:sz w:val="24"/>
          <w:lang w:val="uk-UA"/>
        </w:rPr>
        <w:t xml:space="preserve"> </w:t>
      </w:r>
      <w:proofErr w:type="spellStart"/>
      <w:r w:rsidR="00166851" w:rsidRPr="00166851">
        <w:rPr>
          <w:sz w:val="24"/>
          <w:lang w:val="uk-UA"/>
        </w:rPr>
        <w:t>про</w:t>
      </w:r>
      <w:r w:rsidR="00C019B7">
        <w:rPr>
          <w:sz w:val="24"/>
          <w:lang w:val="uk-UA"/>
        </w:rPr>
        <w:t>є</w:t>
      </w:r>
      <w:r w:rsidR="00166851" w:rsidRPr="00166851">
        <w:rPr>
          <w:sz w:val="24"/>
          <w:lang w:val="uk-UA"/>
        </w:rPr>
        <w:t>кту</w:t>
      </w:r>
      <w:proofErr w:type="spellEnd"/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з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метою</w:t>
      </w:r>
      <w:r w:rsidR="00166851">
        <w:rPr>
          <w:sz w:val="24"/>
          <w:lang w:val="uk-UA"/>
        </w:rPr>
        <w:t xml:space="preserve"> </w:t>
      </w:r>
      <w:r w:rsidR="00166851" w:rsidRPr="00166851">
        <w:rPr>
          <w:sz w:val="24"/>
          <w:lang w:val="uk-UA"/>
        </w:rPr>
        <w:t>його успішної реалізації.</w:t>
      </w:r>
    </w:p>
    <w:p w:rsidR="00824DF7" w:rsidRPr="003F5F43" w:rsidRDefault="00B852D0" w:rsidP="000932BD">
      <w:pPr>
        <w:tabs>
          <w:tab w:val="left" w:pos="284"/>
          <w:tab w:val="left" w:pos="567"/>
        </w:tabs>
        <w:ind w:firstLine="27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38BE" w:rsidRPr="003F5F43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9A6534" w:rsidRDefault="009A6534" w:rsidP="009A6534">
      <w:pPr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ОПП «Управління </w:t>
      </w:r>
      <w:proofErr w:type="spellStart"/>
      <w:r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навч</w:t>
      </w:r>
      <w:proofErr w:type="spellEnd"/>
      <w:r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. Закладами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4B67D8" w:rsidRPr="00675B26" w:rsidRDefault="004B67D8" w:rsidP="004B67D8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675B26" w:rsidRDefault="00675B26" w:rsidP="00675B26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75B26">
        <w:rPr>
          <w:rFonts w:ascii="Times New Roman" w:hAnsi="Times New Roman" w:cs="Times New Roman"/>
          <w:sz w:val="24"/>
          <w:szCs w:val="24"/>
          <w:lang w:eastAsia="ru-RU"/>
        </w:rPr>
        <w:t>Здатність розв’язувати складні задачі і проблеми у сфері менеджменту або у процесі навчання, що передбачають проведення досліджень та/або здійснення інновацій за невизначеності умов і вимог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67D8" w:rsidRPr="009A6534" w:rsidRDefault="004B67D8" w:rsidP="00675B26">
      <w:pPr>
        <w:numPr>
          <w:ilvl w:val="0"/>
          <w:numId w:val="2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4B67D8" w:rsidRDefault="004B67D8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здатність </w:t>
      </w:r>
      <w:r w:rsidR="00EC149B">
        <w:rPr>
          <w:rFonts w:ascii="Times New Roman" w:hAnsi="Times New Roman" w:cs="Times New Roman"/>
          <w:sz w:val="24"/>
          <w:szCs w:val="24"/>
          <w:lang w:eastAsia="ru-RU"/>
        </w:rPr>
        <w:t>проведення досліджень на відповідному рівні</w:t>
      </w:r>
      <w:r w:rsidRPr="009A65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149B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навички використання інформаційних та комунікаційних технологій;</w:t>
      </w:r>
    </w:p>
    <w:p w:rsidR="00EC149B" w:rsidRPr="009A6534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здатність мотивувати людей та рухатися до спільної мети.</w:t>
      </w:r>
    </w:p>
    <w:p w:rsidR="004B67D8" w:rsidRPr="009A6534" w:rsidRDefault="004B67D8" w:rsidP="00675B26">
      <w:pPr>
        <w:numPr>
          <w:ilvl w:val="0"/>
          <w:numId w:val="29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4B67D8" w:rsidRPr="00EC149B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49B">
        <w:rPr>
          <w:rFonts w:ascii="Times New Roman" w:hAnsi="Times New Roman" w:cs="Times New Roman"/>
          <w:sz w:val="24"/>
          <w:szCs w:val="24"/>
          <w:lang w:eastAsia="ru-RU"/>
        </w:rPr>
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</w:t>
      </w:r>
      <w:r w:rsidR="004B67D8" w:rsidRPr="00EC14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149B" w:rsidRDefault="004B67D8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здатність </w:t>
      </w:r>
      <w:r w:rsidR="00EC149B">
        <w:rPr>
          <w:rFonts w:ascii="Times New Roman" w:hAnsi="Times New Roman" w:cs="Times New Roman"/>
          <w:sz w:val="24"/>
          <w:szCs w:val="24"/>
          <w:lang w:eastAsia="ru-RU"/>
        </w:rPr>
        <w:t>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плани;</w:t>
      </w:r>
    </w:p>
    <w:p w:rsidR="004B67D8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C149B">
        <w:rPr>
          <w:rFonts w:ascii="Times New Roman" w:hAnsi="Times New Roman" w:cs="Times New Roman"/>
          <w:sz w:val="24"/>
          <w:szCs w:val="24"/>
          <w:lang w:eastAsia="ru-RU"/>
        </w:rPr>
        <w:t>датність створювати та організовувати ефективні комунікації в процесі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149B" w:rsidRPr="00675B26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B26">
        <w:rPr>
          <w:rFonts w:ascii="Times New Roman" w:hAnsi="Times New Roman" w:cs="Times New Roman"/>
          <w:sz w:val="24"/>
          <w:szCs w:val="24"/>
          <w:lang w:eastAsia="ru-RU"/>
        </w:rPr>
        <w:t>здатність розробляти проекти, управляти ними, виявляти ініціативу та підприємливість;</w:t>
      </w:r>
    </w:p>
    <w:p w:rsidR="00EC149B" w:rsidRPr="00675B26" w:rsidRDefault="00EC149B" w:rsidP="00675B26">
      <w:pPr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B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здатність аналізувати й структурувати проблеми організації, приймати ефективні управлінські рішення та забезпечувати їх реалізацію. </w:t>
      </w:r>
    </w:p>
    <w:p w:rsidR="00EC149B" w:rsidRPr="00EC149B" w:rsidRDefault="00EC149B" w:rsidP="00EC149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405857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AE387A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A6534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  <w:r w:rsidR="009A65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6534"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ОПП «Управління </w:t>
      </w:r>
      <w:proofErr w:type="spellStart"/>
      <w:r w:rsidR="009A6534"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навч</w:t>
      </w:r>
      <w:proofErr w:type="spellEnd"/>
      <w:r w:rsidR="009A6534"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. Закладами</w:t>
      </w:r>
      <w:r w:rsidR="009A6534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9A6534" w:rsidRPr="009A653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A6534" w:rsidRPr="009A6534" w:rsidRDefault="004B67D8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Критично осмислювати, вибирати та використовувати необхідний</w:t>
      </w:r>
      <w:r w:rsidR="009A6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науковий, методичний і аналітичний інструментарій для управління в</w:t>
      </w:r>
    </w:p>
    <w:p w:rsidR="004B67D8" w:rsidRPr="009A6534" w:rsidRDefault="009A6534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>непередбачуваних умовах;</w:t>
      </w:r>
      <w:r w:rsidR="004B67D8"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67D8" w:rsidRPr="009A6534" w:rsidRDefault="004B67D8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Проектувати ефективні системи управління організаціями;</w:t>
      </w:r>
    </w:p>
    <w:p w:rsidR="004B67D8" w:rsidRPr="009A6534" w:rsidRDefault="004B67D8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Обґрунтовувати та управляти проектами, генерувати підприємницькі</w:t>
      </w:r>
      <w:r w:rsidR="009A6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ідеї;</w:t>
      </w:r>
    </w:p>
    <w:p w:rsidR="004B67D8" w:rsidRPr="009A6534" w:rsidRDefault="004B67D8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Застосовувати спеціалізоване програмне забезпечення та</w:t>
      </w:r>
      <w:r w:rsidR="009A6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інформаційні системи для вирішення задач управління організацією;</w:t>
      </w:r>
    </w:p>
    <w:p w:rsidR="004B67D8" w:rsidRPr="009A6534" w:rsidRDefault="004B67D8" w:rsidP="009A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5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Вміти планувати і здійснювати інформаційне, методичне,</w:t>
      </w:r>
      <w:r w:rsidR="009A6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534" w:rsidRPr="009A6534">
        <w:rPr>
          <w:rFonts w:ascii="Times New Roman" w:hAnsi="Times New Roman" w:cs="Times New Roman"/>
          <w:sz w:val="24"/>
          <w:szCs w:val="24"/>
          <w:lang w:eastAsia="ru-RU"/>
        </w:rPr>
        <w:t>матеріальне, фінансове та кадрове забезпечення організації (підрозділу).</w:t>
      </w:r>
    </w:p>
    <w:p w:rsidR="009A6534" w:rsidRDefault="009A6534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E387A" w:rsidRDefault="003E2A43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E387A" w:rsidRDefault="009F321E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302B0A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91635E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МЕТОДОЛОГІЯ НАУКОВИХ ДОСЛІДЖЕНЬ</w:t>
            </w:r>
          </w:p>
        </w:tc>
      </w:tr>
      <w:tr w:rsidR="008A4B7E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91635E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8A4B7E" w:rsidRPr="00D126F2" w:rsidRDefault="00505247" w:rsidP="00D126F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Тема 1. </w:t>
            </w:r>
            <w:r w:rsidR="00D126F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Сучасна наука та наукові дослідження</w:t>
            </w:r>
          </w:p>
        </w:tc>
        <w:tc>
          <w:tcPr>
            <w:tcW w:w="3240" w:type="dxa"/>
            <w:vAlign w:val="center"/>
          </w:tcPr>
          <w:p w:rsidR="00505247" w:rsidRPr="006E354B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5581C" w:rsidRPr="0091635E" w:rsidRDefault="00B5581C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4B7E" w:rsidRPr="003F5F43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3F5F43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91635E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505247" w:rsidRPr="00505247" w:rsidRDefault="00505247" w:rsidP="00505247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2.</w:t>
            </w:r>
            <w:r w:rsidRPr="00505247">
              <w:rPr>
                <w:color w:val="333333"/>
                <w:lang w:val="uk-UA"/>
              </w:rPr>
              <w:t xml:space="preserve"> </w:t>
            </w:r>
            <w:r w:rsidR="00D126F2">
              <w:rPr>
                <w:color w:val="333333"/>
                <w:lang w:val="uk-UA"/>
              </w:rPr>
              <w:t>Методологія та методи наукових досліджень</w:t>
            </w:r>
          </w:p>
          <w:p w:rsidR="002318CB" w:rsidRPr="00505247" w:rsidRDefault="002318CB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05247" w:rsidRPr="006E354B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3587A" w:rsidRPr="006E354B" w:rsidRDefault="0083587A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2318CB" w:rsidRPr="0091635E" w:rsidRDefault="00C40F01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6E35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3F5F43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2318CB" w:rsidRPr="003F5F43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3F5F43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3F5F43" w:rsidRDefault="00505247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91635E" w:rsidRDefault="008710C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2318CB" w:rsidRPr="00D126F2" w:rsidRDefault="00505247" w:rsidP="00D126F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</w:t>
            </w:r>
            <w:r w:rsidRPr="00505247">
              <w:rPr>
                <w:color w:val="333333"/>
                <w:lang w:val="uk-UA"/>
              </w:rPr>
              <w:t xml:space="preserve"> 3. </w:t>
            </w:r>
            <w:r w:rsidR="00D126F2">
              <w:rPr>
                <w:color w:val="333333"/>
                <w:lang w:val="uk-UA"/>
              </w:rPr>
              <w:t>Технологія наукових досліджень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8710C2" w:rsidRPr="0028068B" w:rsidRDefault="008710C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2318CB" w:rsidRPr="0028068B" w:rsidRDefault="0083587A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3F5F43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2318CB" w:rsidRPr="003F5F43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3F5F43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3F5F43" w:rsidRDefault="00505247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7A3655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91635E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7A3655" w:rsidRPr="00D126F2" w:rsidRDefault="00505247" w:rsidP="00E65592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 w:rsidR="00D126F2">
              <w:rPr>
                <w:bCs/>
                <w:color w:val="333333"/>
                <w:lang w:val="uk-UA"/>
              </w:rPr>
              <w:t xml:space="preserve"> </w:t>
            </w:r>
            <w:r w:rsidR="00E65592">
              <w:rPr>
                <w:bCs/>
                <w:color w:val="333333"/>
                <w:lang w:val="uk-UA"/>
              </w:rPr>
              <w:t>Академічна доброчесність в наукових дослідженнях</w:t>
            </w:r>
          </w:p>
        </w:tc>
        <w:tc>
          <w:tcPr>
            <w:tcW w:w="3240" w:type="dxa"/>
            <w:vAlign w:val="center"/>
          </w:tcPr>
          <w:p w:rsidR="00505247" w:rsidRPr="0028068B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C6DD0" w:rsidRPr="0028068B" w:rsidRDefault="0083587A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7A3655" w:rsidRPr="003F5F43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7A3655" w:rsidRPr="003F5F43" w:rsidRDefault="007A365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A3655" w:rsidRPr="003F5F43" w:rsidRDefault="007A365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7A3655" w:rsidRPr="003F5F43" w:rsidRDefault="00505247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91635E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35E" w:rsidRPr="0091635E" w:rsidRDefault="007969FA" w:rsidP="00122D2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96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2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91635E" w:rsidRPr="00505247" w:rsidRDefault="0091635E" w:rsidP="00E65592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 xml:space="preserve">Тема 5. </w:t>
            </w:r>
            <w:r w:rsidR="00E65592" w:rsidRPr="00E65592">
              <w:rPr>
                <w:bCs/>
                <w:color w:val="333333"/>
                <w:lang w:val="uk-UA"/>
              </w:rPr>
              <w:t>Участь в наукових проектах, грантах, програмах академічної мобільності</w:t>
            </w:r>
          </w:p>
        </w:tc>
        <w:tc>
          <w:tcPr>
            <w:tcW w:w="3240" w:type="dxa"/>
            <w:vAlign w:val="center"/>
          </w:tcPr>
          <w:p w:rsidR="0091635E" w:rsidRPr="0028068B" w:rsidRDefault="00E6559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 год.)</w:t>
            </w:r>
          </w:p>
          <w:p w:rsidR="00E65592" w:rsidRPr="0028068B" w:rsidRDefault="00E6559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E65592" w:rsidRPr="0028068B" w:rsidRDefault="00E65592" w:rsidP="00122D2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42710F"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91635E" w:rsidRPr="003F5F43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91635E" w:rsidRPr="003F5F43" w:rsidRDefault="0091635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1635E" w:rsidRPr="003F5F43" w:rsidRDefault="0091635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91635E" w:rsidRDefault="0091635E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527196" w:rsidRPr="003F5F43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3F5F43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БЛОК 2.</w:t>
            </w:r>
          </w:p>
          <w:p w:rsidR="00527196" w:rsidRPr="00EA6BE2" w:rsidRDefault="0091635E" w:rsidP="007F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ПРОЄКТНОЮ ДІЯЛЬНІСТЮ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28068B" w:rsidP="00911A2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27196" w:rsidRPr="00A364DE" w:rsidRDefault="00505247" w:rsidP="0091635E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</w:t>
            </w:r>
            <w:r w:rsidR="0091635E">
              <w:rPr>
                <w:bCs/>
                <w:color w:val="333333"/>
                <w:lang w:val="uk-UA"/>
              </w:rPr>
              <w:t xml:space="preserve"> 6</w:t>
            </w:r>
            <w:r>
              <w:rPr>
                <w:bCs/>
                <w:color w:val="333333"/>
                <w:lang w:val="uk-UA"/>
              </w:rPr>
              <w:t xml:space="preserve">. </w:t>
            </w:r>
            <w:proofErr w:type="spellStart"/>
            <w:r w:rsidR="00B84A53" w:rsidRPr="00B84A53">
              <w:rPr>
                <w:color w:val="333333"/>
              </w:rPr>
              <w:t>Особливості</w:t>
            </w:r>
            <w:proofErr w:type="spellEnd"/>
            <w:r w:rsidR="00B84A53" w:rsidRPr="00B84A53">
              <w:rPr>
                <w:color w:val="333333"/>
              </w:rPr>
              <w:t xml:space="preserve"> </w:t>
            </w:r>
            <w:proofErr w:type="spellStart"/>
            <w:r w:rsidR="00B84A53" w:rsidRPr="00B84A53">
              <w:rPr>
                <w:color w:val="333333"/>
              </w:rPr>
              <w:t>проєктної</w:t>
            </w:r>
            <w:proofErr w:type="spellEnd"/>
            <w:r w:rsidR="00B84A53" w:rsidRPr="00B84A53">
              <w:rPr>
                <w:color w:val="333333"/>
              </w:rPr>
              <w:t xml:space="preserve"> </w:t>
            </w:r>
            <w:proofErr w:type="spellStart"/>
            <w:r w:rsidR="00B84A53" w:rsidRPr="00B84A53">
              <w:rPr>
                <w:color w:val="333333"/>
              </w:rPr>
              <w:t>діяльність</w:t>
            </w:r>
            <w:proofErr w:type="spellEnd"/>
            <w:r w:rsidR="00B84A53" w:rsidRPr="00B84A53">
              <w:rPr>
                <w:color w:val="333333"/>
              </w:rPr>
              <w:t xml:space="preserve"> у </w:t>
            </w:r>
            <w:proofErr w:type="spellStart"/>
            <w:r w:rsidR="00B84A53" w:rsidRPr="00B84A53">
              <w:rPr>
                <w:color w:val="333333"/>
              </w:rPr>
              <w:t>соціальній</w:t>
            </w:r>
            <w:proofErr w:type="spellEnd"/>
            <w:r w:rsidR="00B84A53" w:rsidRPr="00B84A53">
              <w:rPr>
                <w:color w:val="333333"/>
              </w:rPr>
              <w:t xml:space="preserve"> та </w:t>
            </w:r>
            <w:proofErr w:type="spellStart"/>
            <w:r w:rsidR="00B84A53" w:rsidRPr="00B84A53">
              <w:rPr>
                <w:color w:val="333333"/>
              </w:rPr>
              <w:t>педагогічних</w:t>
            </w:r>
            <w:proofErr w:type="spellEnd"/>
            <w:r w:rsidR="00B84A53" w:rsidRPr="00B84A53">
              <w:rPr>
                <w:color w:val="333333"/>
              </w:rPr>
              <w:t xml:space="preserve"> сферах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911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8068B" w:rsidRDefault="0028068B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9A196F" w:rsidRPr="003F5F43" w:rsidRDefault="009A196F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="00A3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3F5F43" w:rsidRDefault="007969F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527196" w:rsidRPr="003F5F43" w:rsidRDefault="00527196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3F5F43" w:rsidRDefault="00527196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527196" w:rsidRPr="003F5F43" w:rsidRDefault="00505247" w:rsidP="00E6559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 w:rsidR="00E6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3F5F43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7969FA" w:rsidRPr="00A364DE" w:rsidRDefault="007969FA" w:rsidP="007969FA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 7.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 w:rsidRPr="003E4046">
              <w:rPr>
                <w:color w:val="333333"/>
              </w:rPr>
              <w:t>Фандрайзинг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сфері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освіти</w:t>
            </w:r>
            <w:proofErr w:type="spellEnd"/>
          </w:p>
        </w:tc>
        <w:tc>
          <w:tcPr>
            <w:tcW w:w="3240" w:type="dxa"/>
            <w:vAlign w:val="center"/>
          </w:tcPr>
          <w:p w:rsidR="007969FA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( </w:t>
            </w:r>
            <w:r w:rsidR="00911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7969FA" w:rsidRPr="003F5F43" w:rsidRDefault="007969FA" w:rsidP="007969F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7969FA" w:rsidRPr="003F5F43" w:rsidRDefault="007969FA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</w:tcPr>
          <w:p w:rsidR="007969FA" w:rsidRDefault="007969FA" w:rsidP="007969FA">
            <w:r w:rsidRPr="00CA6159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3F5F43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7969FA" w:rsidRPr="00A364DE" w:rsidRDefault="007969FA" w:rsidP="007969FA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</w:t>
            </w:r>
            <w:r>
              <w:rPr>
                <w:color w:val="333333"/>
                <w:lang w:val="uk-UA"/>
              </w:rPr>
              <w:t xml:space="preserve"> 8. </w:t>
            </w:r>
            <w:proofErr w:type="spellStart"/>
            <w:r w:rsidRPr="00903B1E">
              <w:rPr>
                <w:color w:val="333333"/>
              </w:rPr>
              <w:t>Класифікація</w:t>
            </w:r>
            <w:proofErr w:type="spellEnd"/>
            <w:r w:rsidRPr="00903B1E">
              <w:rPr>
                <w:color w:val="333333"/>
              </w:rPr>
              <w:t xml:space="preserve"> </w:t>
            </w:r>
            <w:proofErr w:type="spellStart"/>
            <w:r w:rsidRPr="00903B1E">
              <w:rPr>
                <w:color w:val="333333"/>
              </w:rPr>
              <w:t>проектів</w:t>
            </w:r>
            <w:proofErr w:type="spellEnd"/>
            <w:r w:rsidRPr="00903B1E">
              <w:rPr>
                <w:color w:val="333333"/>
              </w:rPr>
              <w:t xml:space="preserve">. </w:t>
            </w:r>
            <w:proofErr w:type="spellStart"/>
            <w:r w:rsidRPr="00903B1E">
              <w:rPr>
                <w:color w:val="333333"/>
              </w:rPr>
              <w:t>Технологія</w:t>
            </w:r>
            <w:proofErr w:type="spellEnd"/>
            <w:r w:rsidRPr="00903B1E">
              <w:rPr>
                <w:color w:val="333333"/>
              </w:rPr>
              <w:t xml:space="preserve"> </w:t>
            </w:r>
            <w:proofErr w:type="spellStart"/>
            <w:r w:rsidRPr="00903B1E">
              <w:rPr>
                <w:color w:val="333333"/>
              </w:rPr>
              <w:t>реалізації</w:t>
            </w:r>
            <w:proofErr w:type="spellEnd"/>
            <w:r w:rsidRPr="00903B1E">
              <w:rPr>
                <w:color w:val="333333"/>
              </w:rPr>
              <w:t xml:space="preserve"> методу </w:t>
            </w:r>
            <w:proofErr w:type="spellStart"/>
            <w:r w:rsidRPr="00903B1E">
              <w:rPr>
                <w:color w:val="333333"/>
              </w:rPr>
              <w:t>проектів</w:t>
            </w:r>
            <w:proofErr w:type="spellEnd"/>
            <w:r w:rsidRPr="00903B1E">
              <w:rPr>
                <w:color w:val="333333"/>
              </w:rPr>
              <w:t xml:space="preserve">. </w:t>
            </w:r>
            <w:proofErr w:type="spellStart"/>
            <w:r w:rsidRPr="00903B1E">
              <w:rPr>
                <w:color w:val="333333"/>
              </w:rPr>
              <w:t>Етапи</w:t>
            </w:r>
            <w:proofErr w:type="spellEnd"/>
            <w:r w:rsidRPr="00903B1E">
              <w:rPr>
                <w:color w:val="333333"/>
              </w:rPr>
              <w:t xml:space="preserve"> проекту</w:t>
            </w:r>
          </w:p>
        </w:tc>
        <w:tc>
          <w:tcPr>
            <w:tcW w:w="3240" w:type="dxa"/>
            <w:vAlign w:val="center"/>
          </w:tcPr>
          <w:p w:rsidR="007969FA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911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7969FA" w:rsidRPr="003F5F43" w:rsidRDefault="007969FA" w:rsidP="007969F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7969FA" w:rsidRPr="003F5F43" w:rsidRDefault="007969FA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122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Default="007969FA" w:rsidP="007969FA">
            <w:r w:rsidRPr="00CA6159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3F5F43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7969FA" w:rsidRPr="00A364DE" w:rsidRDefault="007969FA" w:rsidP="007969FA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 xml:space="preserve">Тема 9. </w:t>
            </w:r>
            <w:r>
              <w:rPr>
                <w:color w:val="333333"/>
                <w:lang w:val="uk-UA"/>
              </w:rPr>
              <w:t xml:space="preserve">Теорія і технологія реалізації інвестиційних </w:t>
            </w:r>
            <w:proofErr w:type="spellStart"/>
            <w:r>
              <w:rPr>
                <w:color w:val="333333"/>
                <w:lang w:val="uk-UA"/>
              </w:rPr>
              <w:t>проєктів</w:t>
            </w:r>
            <w:proofErr w:type="spellEnd"/>
            <w:r>
              <w:rPr>
                <w:color w:val="333333"/>
                <w:lang w:val="uk-UA"/>
              </w:rPr>
              <w:t xml:space="preserve"> на практиці</w:t>
            </w:r>
          </w:p>
        </w:tc>
        <w:tc>
          <w:tcPr>
            <w:tcW w:w="3240" w:type="dxa"/>
            <w:vAlign w:val="center"/>
          </w:tcPr>
          <w:p w:rsidR="007969FA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28068B" w:rsidRDefault="0028068B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7969FA" w:rsidRPr="003F5F43" w:rsidRDefault="007969FA" w:rsidP="00911A25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амостійна робота (</w:t>
            </w:r>
            <w:r w:rsidR="00911A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Default="007969FA" w:rsidP="007969FA">
            <w:r w:rsidRPr="00CA6159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Default="0028068B" w:rsidP="00911A2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7969FA" w:rsidRDefault="007969FA" w:rsidP="007969FA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 xml:space="preserve">Тема 10. </w:t>
            </w:r>
            <w:proofErr w:type="spellStart"/>
            <w:r w:rsidRPr="007969FA">
              <w:rPr>
                <w:bCs/>
                <w:color w:val="333333"/>
              </w:rPr>
              <w:t>Планування</w:t>
            </w:r>
            <w:proofErr w:type="spellEnd"/>
            <w:r w:rsidRPr="007969FA">
              <w:rPr>
                <w:bCs/>
                <w:color w:val="333333"/>
              </w:rPr>
              <w:t xml:space="preserve"> </w:t>
            </w:r>
            <w:proofErr w:type="spellStart"/>
            <w:r w:rsidRPr="007969FA">
              <w:rPr>
                <w:bCs/>
                <w:color w:val="333333"/>
              </w:rPr>
              <w:t>освітньо-фандрайзингових</w:t>
            </w:r>
            <w:proofErr w:type="spellEnd"/>
            <w:r w:rsidRPr="007969FA">
              <w:rPr>
                <w:bCs/>
                <w:color w:val="333333"/>
              </w:rPr>
              <w:t xml:space="preserve"> </w:t>
            </w:r>
            <w:proofErr w:type="spellStart"/>
            <w:r w:rsidRPr="007969FA">
              <w:rPr>
                <w:bCs/>
                <w:color w:val="333333"/>
              </w:rPr>
              <w:t>кампаній</w:t>
            </w:r>
            <w:proofErr w:type="spellEnd"/>
            <w:r w:rsidRPr="007969FA">
              <w:rPr>
                <w:bCs/>
                <w:color w:val="333333"/>
              </w:rPr>
              <w:t xml:space="preserve">. </w:t>
            </w:r>
            <w:proofErr w:type="spellStart"/>
            <w:r w:rsidRPr="007969FA">
              <w:rPr>
                <w:bCs/>
                <w:color w:val="333333"/>
              </w:rPr>
              <w:t>Освітній</w:t>
            </w:r>
            <w:proofErr w:type="spellEnd"/>
            <w:r w:rsidRPr="007969FA">
              <w:rPr>
                <w:bCs/>
                <w:color w:val="333333"/>
              </w:rPr>
              <w:t xml:space="preserve"> </w:t>
            </w:r>
            <w:proofErr w:type="spellStart"/>
            <w:r w:rsidRPr="007969FA">
              <w:rPr>
                <w:bCs/>
                <w:color w:val="333333"/>
              </w:rPr>
              <w:t>ендаумент</w:t>
            </w:r>
            <w:proofErr w:type="spellEnd"/>
          </w:p>
        </w:tc>
        <w:tc>
          <w:tcPr>
            <w:tcW w:w="3240" w:type="dxa"/>
            <w:vAlign w:val="center"/>
          </w:tcPr>
          <w:p w:rsidR="007969FA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7969FA" w:rsidRDefault="007969FA" w:rsidP="0028068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806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Default="007969FA" w:rsidP="007969FA">
            <w:r w:rsidRPr="00CA6159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3F5F43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969FA" w:rsidRDefault="007969FA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9069"/>
      </w:tblGrid>
      <w:tr w:rsidR="00DC79BC" w:rsidRPr="005C3381" w:rsidTr="005C3381">
        <w:tc>
          <w:tcPr>
            <w:tcW w:w="5508" w:type="dxa"/>
            <w:shd w:val="clear" w:color="auto" w:fill="auto"/>
          </w:tcPr>
          <w:p w:rsidR="00DC79BC" w:rsidRPr="00E56E4A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5C3381" w:rsidTr="005C3381">
        <w:tc>
          <w:tcPr>
            <w:tcW w:w="5508" w:type="dxa"/>
            <w:shd w:val="clear" w:color="auto" w:fill="auto"/>
            <w:vAlign w:val="center"/>
          </w:tcPr>
          <w:p w:rsidR="00DC79BC" w:rsidRPr="00E56E4A" w:rsidRDefault="005C3381" w:rsidP="005C3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1. </w:t>
            </w:r>
            <w:r w:rsidR="00E56E4A" w:rsidRPr="00E56E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Сучасна наука та наукові дослідження</w:t>
            </w:r>
          </w:p>
        </w:tc>
        <w:tc>
          <w:tcPr>
            <w:tcW w:w="9100" w:type="dxa"/>
            <w:shd w:val="clear" w:color="auto" w:fill="auto"/>
          </w:tcPr>
          <w:p w:rsidR="00FA293C" w:rsidRDefault="00FA293C" w:rsidP="00FA29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FA293C">
              <w:rPr>
                <w:lang w:val="uk-UA"/>
              </w:rPr>
              <w:t xml:space="preserve">Предмет та сутність науки. </w:t>
            </w:r>
          </w:p>
          <w:p w:rsidR="00FA293C" w:rsidRDefault="00FA293C" w:rsidP="00FA29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FA293C">
              <w:rPr>
                <w:lang w:val="uk-UA"/>
              </w:rPr>
              <w:t xml:space="preserve">Сутність наукового дослідження. </w:t>
            </w:r>
          </w:p>
          <w:p w:rsidR="00FA293C" w:rsidRDefault="00FA293C" w:rsidP="00FA29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FA293C">
              <w:rPr>
                <w:lang w:val="uk-UA"/>
              </w:rPr>
              <w:t xml:space="preserve">Загальні принципи науки. </w:t>
            </w:r>
          </w:p>
          <w:p w:rsidR="00FA293C" w:rsidRDefault="00FA293C" w:rsidP="00FA29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293C">
              <w:rPr>
                <w:lang w:val="uk-UA"/>
              </w:rPr>
              <w:t xml:space="preserve">Ознаки наукового дослідження. </w:t>
            </w:r>
          </w:p>
          <w:p w:rsidR="00DC79BC" w:rsidRPr="00D76412" w:rsidRDefault="00FA293C" w:rsidP="00FA293C">
            <w:pPr>
              <w:pStyle w:val="a3"/>
              <w:spacing w:before="0" w:beforeAutospacing="0" w:after="0" w:afterAutospacing="0"/>
              <w:rPr>
                <w:caps/>
                <w:color w:val="000000"/>
                <w:highlight w:val="yellow"/>
              </w:rPr>
            </w:pPr>
            <w:r>
              <w:rPr>
                <w:lang w:val="uk-UA"/>
              </w:rPr>
              <w:t xml:space="preserve">5. </w:t>
            </w:r>
            <w:r w:rsidRPr="00FA293C">
              <w:rPr>
                <w:lang w:val="uk-UA"/>
              </w:rPr>
              <w:t xml:space="preserve">Фундаментальні та прикладні наукові дослідження.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5C3381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42710F">
              <w:rPr>
                <w:bCs/>
                <w:color w:val="333333"/>
                <w:lang w:val="uk-UA"/>
              </w:rPr>
              <w:t>Тема 2.</w:t>
            </w:r>
            <w:r w:rsidRPr="0042710F">
              <w:rPr>
                <w:color w:val="333333"/>
                <w:lang w:val="uk-UA"/>
              </w:rPr>
              <w:t xml:space="preserve"> </w:t>
            </w:r>
            <w:r w:rsidR="0042710F">
              <w:rPr>
                <w:color w:val="333333"/>
                <w:lang w:val="uk-UA"/>
              </w:rPr>
              <w:t>Методологія та методи наукових досліджень</w:t>
            </w:r>
          </w:p>
        </w:tc>
        <w:tc>
          <w:tcPr>
            <w:tcW w:w="9100" w:type="dxa"/>
            <w:shd w:val="clear" w:color="auto" w:fill="auto"/>
          </w:tcPr>
          <w:p w:rsidR="00FA293C" w:rsidRDefault="00FA293C" w:rsidP="00FA2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Поняття методології та методики наукових досліджень. </w:t>
            </w:r>
          </w:p>
          <w:p w:rsidR="00FA293C" w:rsidRDefault="00FA293C" w:rsidP="00FA2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Ідеалізація, формалізація, гіпотеза, дедукція, індукція, гіпотетичний метод. </w:t>
            </w:r>
          </w:p>
          <w:p w:rsidR="00FA293C" w:rsidRDefault="00FA293C" w:rsidP="00FA2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Основи методології досліджень емпіричного рівня. </w:t>
            </w:r>
          </w:p>
          <w:p w:rsidR="00FA293C" w:rsidRDefault="00FA293C" w:rsidP="00FA2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Поняття наукового методу та його основні риси. </w:t>
            </w:r>
          </w:p>
          <w:p w:rsidR="00A364DE" w:rsidRPr="00FA293C" w:rsidRDefault="00FA293C" w:rsidP="00FA293C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Загальнонаукові методи.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5C3381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42710F">
              <w:rPr>
                <w:bCs/>
                <w:color w:val="333333"/>
                <w:lang w:val="uk-UA"/>
              </w:rPr>
              <w:t>Тема</w:t>
            </w:r>
            <w:r w:rsidRPr="0042710F">
              <w:rPr>
                <w:color w:val="333333"/>
                <w:lang w:val="uk-UA"/>
              </w:rPr>
              <w:t xml:space="preserve"> 3. </w:t>
            </w:r>
            <w:r w:rsidR="0042710F">
              <w:rPr>
                <w:color w:val="333333"/>
                <w:lang w:val="uk-UA"/>
              </w:rPr>
              <w:t>Технологія наукових досліджень</w:t>
            </w:r>
          </w:p>
        </w:tc>
        <w:tc>
          <w:tcPr>
            <w:tcW w:w="9100" w:type="dxa"/>
            <w:shd w:val="clear" w:color="auto" w:fill="auto"/>
          </w:tcPr>
          <w:p w:rsidR="00FA293C" w:rsidRDefault="00FA293C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3C">
              <w:rPr>
                <w:rFonts w:ascii="Times New Roman" w:hAnsi="Times New Roman" w:cs="Times New Roman"/>
                <w:sz w:val="24"/>
                <w:szCs w:val="24"/>
              </w:rPr>
              <w:t xml:space="preserve">1. Логіка наукового дослідження. </w:t>
            </w:r>
          </w:p>
          <w:p w:rsidR="00FA293C" w:rsidRDefault="00FA293C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293C">
              <w:rPr>
                <w:rFonts w:ascii="Times New Roman" w:hAnsi="Times New Roman" w:cs="Times New Roman"/>
                <w:sz w:val="24"/>
                <w:szCs w:val="24"/>
              </w:rPr>
              <w:t xml:space="preserve">Формулювання теми наукового дослідження та розробка робочої гіпотези. </w:t>
            </w:r>
          </w:p>
          <w:p w:rsidR="0049711B" w:rsidRDefault="00FA293C" w:rsidP="00FA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293C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мети, завдань, об’єкта та предмета дослідження. </w:t>
            </w:r>
          </w:p>
          <w:p w:rsidR="0049711B" w:rsidRDefault="0049711B" w:rsidP="0049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293C" w:rsidRPr="00FA293C">
              <w:rPr>
                <w:rFonts w:ascii="Times New Roman" w:hAnsi="Times New Roman" w:cs="Times New Roman"/>
                <w:sz w:val="24"/>
                <w:szCs w:val="24"/>
              </w:rPr>
              <w:t xml:space="preserve">Етапи наукових досліджень. </w:t>
            </w:r>
          </w:p>
          <w:p w:rsidR="00A364DE" w:rsidRPr="00FA293C" w:rsidRDefault="0049711B" w:rsidP="0049711B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A293C" w:rsidRPr="00FA293C">
              <w:rPr>
                <w:rFonts w:ascii="Times New Roman" w:hAnsi="Times New Roman" w:cs="Times New Roman"/>
                <w:sz w:val="24"/>
                <w:szCs w:val="24"/>
              </w:rPr>
              <w:t xml:space="preserve">Огляду літератури з теми дослідження.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42710F" w:rsidP="0042710F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2710F">
              <w:rPr>
                <w:color w:val="333333"/>
                <w:lang w:val="uk-UA"/>
              </w:rPr>
              <w:t>Тема 4. Академічна доброчесність в наукових дослідженнях</w:t>
            </w:r>
          </w:p>
        </w:tc>
        <w:tc>
          <w:tcPr>
            <w:tcW w:w="9100" w:type="dxa"/>
            <w:shd w:val="clear" w:color="auto" w:fill="auto"/>
          </w:tcPr>
          <w:p w:rsidR="0049711B" w:rsidRDefault="0049711B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Сутність поняття «академічна доброчесність». </w:t>
            </w:r>
          </w:p>
          <w:p w:rsidR="0049711B" w:rsidRDefault="0049711B" w:rsidP="00497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текстових запозичень у публікаціях без посилання на джерело. </w:t>
            </w:r>
          </w:p>
          <w:p w:rsidR="0049711B" w:rsidRDefault="0049711B" w:rsidP="00497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Поняття «академічний плагіат», «плагіат», «</w:t>
            </w:r>
            <w:proofErr w:type="spellStart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самоплагіат</w:t>
            </w:r>
            <w:proofErr w:type="spellEnd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49711B" w:rsidRDefault="0049711B" w:rsidP="00497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Окремі випадку </w:t>
            </w:r>
            <w:proofErr w:type="spellStart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самоплагіату</w:t>
            </w:r>
            <w:proofErr w:type="spellEnd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науковій діяльності. </w:t>
            </w:r>
          </w:p>
          <w:p w:rsidR="00A364DE" w:rsidRPr="00D76412" w:rsidRDefault="0049711B" w:rsidP="0049711B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Види відповідальність за порушення принципів академічної доброчесності.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42710F" w:rsidP="0042710F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2710F">
              <w:rPr>
                <w:color w:val="333333"/>
                <w:lang w:val="uk-UA"/>
              </w:rPr>
              <w:t>Тема 5. Участь в наукових проектах, грантах, програмах академічної мобільності</w:t>
            </w:r>
          </w:p>
        </w:tc>
        <w:tc>
          <w:tcPr>
            <w:tcW w:w="9100" w:type="dxa"/>
            <w:shd w:val="clear" w:color="auto" w:fill="auto"/>
          </w:tcPr>
          <w:p w:rsidR="00A22825" w:rsidRDefault="00A22825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Особливості фінансування наукової діяльності в Україні та закордоном. </w:t>
            </w:r>
          </w:p>
          <w:p w:rsidR="00A22825" w:rsidRDefault="00A22825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0" w:name="_GoBack"/>
            <w:bookmarkEnd w:id="0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1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в проектах науково-дослід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ної роботи (НДР) за рахунок державного бюджету України. </w:t>
            </w:r>
          </w:p>
          <w:p w:rsidR="00A22825" w:rsidRDefault="00A22825" w:rsidP="00A22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Основні критерії відбору та вимоги до учасників конкурсу проектів НДР МОН України. </w:t>
            </w:r>
          </w:p>
          <w:p w:rsidR="00A22825" w:rsidRDefault="00A22825" w:rsidP="00A22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Гранти – як механізм цільового фінансування конкретного напряму наукових досліджень. </w:t>
            </w:r>
          </w:p>
          <w:p w:rsidR="00A22825" w:rsidRDefault="00A22825" w:rsidP="00A228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Грантодавці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фонди підтримки наукових досліджень. </w:t>
            </w:r>
          </w:p>
          <w:p w:rsidR="00A364DE" w:rsidRPr="00D76412" w:rsidRDefault="00A22825" w:rsidP="00A22825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Академічна мобільність.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B84A53" w:rsidRDefault="005C3381" w:rsidP="009A0B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A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6.</w:t>
            </w:r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84A53"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Особливості </w:t>
            </w:r>
            <w:proofErr w:type="spellStart"/>
            <w:r w:rsidR="00B84A53"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проєктної</w:t>
            </w:r>
            <w:proofErr w:type="spellEnd"/>
            <w:r w:rsidR="00B84A53"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діяльність у </w:t>
            </w:r>
            <w:r w:rsidR="009A0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навчальних закладах</w:t>
            </w:r>
          </w:p>
        </w:tc>
        <w:tc>
          <w:tcPr>
            <w:tcW w:w="9100" w:type="dxa"/>
            <w:shd w:val="clear" w:color="auto" w:fill="auto"/>
          </w:tcPr>
          <w:p w:rsidR="005C3381" w:rsidRPr="00B84A53" w:rsidRDefault="00FA7FE3" w:rsidP="005C338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FA7FE3">
              <w:rPr>
                <w:lang w:val="uk-UA"/>
              </w:rPr>
              <w:t>Проєктн</w:t>
            </w:r>
            <w:r>
              <w:rPr>
                <w:lang w:val="uk-UA"/>
              </w:rPr>
              <w:t>а</w:t>
            </w:r>
            <w:proofErr w:type="spellEnd"/>
            <w:r w:rsidRPr="00FA7FE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діяльність у </w:t>
            </w:r>
            <w:r w:rsidR="009A0B87">
              <w:rPr>
                <w:lang w:val="uk-UA"/>
              </w:rPr>
              <w:t>навчальних закладах</w:t>
            </w:r>
          </w:p>
          <w:p w:rsidR="005C3381" w:rsidRDefault="00FA7FE3" w:rsidP="005C338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="00B84A53" w:rsidRPr="00FA7FE3">
              <w:rPr>
                <w:lang w:val="uk-UA"/>
              </w:rPr>
              <w:t>Проєкт</w:t>
            </w:r>
            <w:proofErr w:type="spellEnd"/>
            <w:r w:rsidR="00B84A53" w:rsidRPr="00FA7FE3">
              <w:rPr>
                <w:lang w:val="uk-UA"/>
              </w:rPr>
              <w:t xml:space="preserve"> як об’єкт управління</w:t>
            </w:r>
          </w:p>
          <w:p w:rsidR="005C3381" w:rsidRDefault="00FA7FE3" w:rsidP="00FA7FE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FA7FE3">
              <w:rPr>
                <w:lang w:val="uk-UA"/>
              </w:rPr>
              <w:t xml:space="preserve">Відмінності між традиційним менеджментом та управлінням </w:t>
            </w:r>
            <w:proofErr w:type="spellStart"/>
            <w:r w:rsidRPr="00FA7FE3">
              <w:rPr>
                <w:lang w:val="uk-UA"/>
              </w:rPr>
              <w:t>проєктами</w:t>
            </w:r>
            <w:proofErr w:type="spellEnd"/>
          </w:p>
          <w:p w:rsidR="00A364DE" w:rsidRPr="00FA7FE3" w:rsidRDefault="00FA7FE3" w:rsidP="007969FA">
            <w:pPr>
              <w:pStyle w:val="a3"/>
              <w:spacing w:before="0" w:beforeAutospacing="0" w:after="0" w:afterAutospacing="0"/>
              <w:rPr>
                <w:caps/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A7FE3">
              <w:rPr>
                <w:lang w:val="uk-UA"/>
              </w:rPr>
              <w:t xml:space="preserve">Форми та типологія </w:t>
            </w:r>
            <w:proofErr w:type="spellStart"/>
            <w:r w:rsidRPr="00FA7FE3">
              <w:rPr>
                <w:lang w:val="uk-UA"/>
              </w:rPr>
              <w:t>проєктів</w:t>
            </w:r>
            <w:proofErr w:type="spellEnd"/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5C3381" w:rsidP="009A0B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Тема</w:t>
            </w:r>
            <w:r w:rsidRPr="003E4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7. </w:t>
            </w:r>
            <w:proofErr w:type="spellStart"/>
            <w:r w:rsidR="009A0B87" w:rsidRPr="003E4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Фандрайзинг</w:t>
            </w:r>
            <w:proofErr w:type="spellEnd"/>
            <w:r w:rsidR="009A0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сфері освіти</w:t>
            </w:r>
          </w:p>
        </w:tc>
        <w:tc>
          <w:tcPr>
            <w:tcW w:w="9100" w:type="dxa"/>
            <w:shd w:val="clear" w:color="auto" w:fill="auto"/>
          </w:tcPr>
          <w:p w:rsidR="009A0B87" w:rsidRDefault="009A0B87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сутності </w:t>
            </w:r>
            <w:proofErr w:type="spellStart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фандрайзингу</w:t>
            </w:r>
            <w:proofErr w:type="spellEnd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, його основних понять. </w:t>
            </w:r>
          </w:p>
          <w:p w:rsidR="009A0B87" w:rsidRDefault="009A0B87" w:rsidP="005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Об’єкт та суб’єкт </w:t>
            </w:r>
            <w:proofErr w:type="spellStart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фандрайзин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A0B87" w:rsidRDefault="009A0B87" w:rsidP="009A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фандрайзингу</w:t>
            </w:r>
            <w:proofErr w:type="spellEnd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: принципи, завдання, напрями діяльності.  </w:t>
            </w:r>
          </w:p>
          <w:p w:rsidR="009A0B87" w:rsidRDefault="009A0B87" w:rsidP="009A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Донори та способи взаємодії з ними( волонтери та філантропи).  </w:t>
            </w:r>
          </w:p>
          <w:p w:rsidR="00A364DE" w:rsidRPr="00D76412" w:rsidRDefault="009A0B87" w:rsidP="009A0B8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успішного </w:t>
            </w:r>
            <w:proofErr w:type="spellStart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фандрайзингу</w:t>
            </w:r>
            <w:proofErr w:type="spellEnd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. Помилки </w:t>
            </w:r>
            <w:proofErr w:type="spellStart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>фандрайзингової</w:t>
            </w:r>
            <w:proofErr w:type="spellEnd"/>
            <w:r w:rsidRPr="009A0B87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 </w:t>
            </w:r>
          </w:p>
        </w:tc>
      </w:tr>
      <w:tr w:rsidR="00A364DE" w:rsidRPr="005C3381" w:rsidTr="005C3381">
        <w:tc>
          <w:tcPr>
            <w:tcW w:w="5508" w:type="dxa"/>
            <w:shd w:val="clear" w:color="auto" w:fill="auto"/>
            <w:vAlign w:val="center"/>
          </w:tcPr>
          <w:p w:rsidR="00A364DE" w:rsidRPr="00D76412" w:rsidRDefault="005C3381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B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8. </w:t>
            </w:r>
            <w:r w:rsidR="00903B1E" w:rsidRPr="00903B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Класифікація проектів. Технологія реалізації методу проектів. Етапи проекту</w:t>
            </w:r>
          </w:p>
        </w:tc>
        <w:tc>
          <w:tcPr>
            <w:tcW w:w="9100" w:type="dxa"/>
            <w:shd w:val="clear" w:color="auto" w:fill="auto"/>
          </w:tcPr>
          <w:p w:rsidR="00903B1E" w:rsidRPr="00903B1E" w:rsidRDefault="00903B1E" w:rsidP="0090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1E">
              <w:rPr>
                <w:rFonts w:ascii="Times New Roman" w:hAnsi="Times New Roman" w:cs="Times New Roman"/>
                <w:sz w:val="24"/>
                <w:szCs w:val="24"/>
              </w:rPr>
              <w:t>Різноманітні підходи до класифікації проектів.</w:t>
            </w:r>
          </w:p>
          <w:p w:rsidR="00903B1E" w:rsidRPr="00903B1E" w:rsidRDefault="00903B1E" w:rsidP="0090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1E">
              <w:rPr>
                <w:rFonts w:ascii="Times New Roman" w:hAnsi="Times New Roman" w:cs="Times New Roman"/>
                <w:sz w:val="24"/>
                <w:szCs w:val="24"/>
              </w:rPr>
              <w:t xml:space="preserve">2. Типи проектів. </w:t>
            </w:r>
          </w:p>
          <w:p w:rsidR="00903B1E" w:rsidRPr="00903B1E" w:rsidRDefault="00903B1E" w:rsidP="0090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1E">
              <w:rPr>
                <w:rFonts w:ascii="Times New Roman" w:hAnsi="Times New Roman" w:cs="Times New Roman"/>
                <w:sz w:val="24"/>
                <w:szCs w:val="24"/>
              </w:rPr>
              <w:t xml:space="preserve">3. Поняття про проектний цикл( життєвий цикл проекту).  </w:t>
            </w:r>
          </w:p>
          <w:p w:rsidR="00A364DE" w:rsidRPr="00D76412" w:rsidRDefault="00903B1E" w:rsidP="000F4335">
            <w:pPr>
              <w:jc w:val="both"/>
              <w:rPr>
                <w:color w:val="333333"/>
                <w:highlight w:val="yellow"/>
              </w:rPr>
            </w:pPr>
            <w:r w:rsidRPr="00903B1E">
              <w:rPr>
                <w:rFonts w:ascii="Times New Roman" w:hAnsi="Times New Roman" w:cs="Times New Roman"/>
                <w:sz w:val="24"/>
                <w:szCs w:val="24"/>
              </w:rPr>
              <w:t xml:space="preserve">4. Характеристика основних етапів роботи над проектом.  </w:t>
            </w:r>
          </w:p>
        </w:tc>
      </w:tr>
      <w:tr w:rsidR="0091635E" w:rsidRPr="005C3381" w:rsidTr="005C3381">
        <w:tc>
          <w:tcPr>
            <w:tcW w:w="5508" w:type="dxa"/>
            <w:shd w:val="clear" w:color="auto" w:fill="auto"/>
            <w:vAlign w:val="center"/>
          </w:tcPr>
          <w:p w:rsidR="0091635E" w:rsidRPr="00B57075" w:rsidRDefault="0091635E" w:rsidP="009A0B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570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9. </w:t>
            </w:r>
            <w:r w:rsidR="00B57075"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Теорія і технологія реалізації інвестиційних </w:t>
            </w:r>
            <w:proofErr w:type="spellStart"/>
            <w:r w:rsidR="00B57075"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проєктів</w:t>
            </w:r>
            <w:proofErr w:type="spellEnd"/>
            <w:r w:rsidR="00B57075"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практиці</w:t>
            </w:r>
          </w:p>
        </w:tc>
        <w:tc>
          <w:tcPr>
            <w:tcW w:w="9100" w:type="dxa"/>
            <w:shd w:val="clear" w:color="auto" w:fill="auto"/>
          </w:tcPr>
          <w:p w:rsidR="007969FA" w:rsidRDefault="00B57075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1. </w:t>
            </w:r>
            <w:r w:rsidRPr="00B57075">
              <w:rPr>
                <w:color w:val="333333"/>
                <w:lang w:val="uk-UA"/>
              </w:rPr>
              <w:t xml:space="preserve">Теоретичні засади прийняття оперативних рішень. </w:t>
            </w:r>
          </w:p>
          <w:p w:rsidR="007969FA" w:rsidRDefault="007969FA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2. </w:t>
            </w:r>
            <w:r w:rsidR="00B57075" w:rsidRPr="00B57075">
              <w:rPr>
                <w:color w:val="333333"/>
                <w:lang w:val="uk-UA"/>
              </w:rPr>
              <w:t xml:space="preserve">Оцінка ефективності інвестиційно-освітнього проекту. </w:t>
            </w:r>
          </w:p>
          <w:p w:rsidR="0091635E" w:rsidRDefault="007969FA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3. </w:t>
            </w:r>
            <w:proofErr w:type="spellStart"/>
            <w:r w:rsidR="00B57075" w:rsidRPr="00B57075">
              <w:rPr>
                <w:color w:val="333333"/>
                <w:lang w:val="uk-UA"/>
              </w:rPr>
              <w:t>Обгрунтування</w:t>
            </w:r>
            <w:proofErr w:type="spellEnd"/>
            <w:r w:rsidR="00B57075" w:rsidRPr="00B57075">
              <w:rPr>
                <w:color w:val="333333"/>
                <w:lang w:val="uk-UA"/>
              </w:rPr>
              <w:t xml:space="preserve"> доцільності прийняття інвестиційних рішень розробки інвестиційно-освітнього проекту.</w:t>
            </w:r>
          </w:p>
        </w:tc>
      </w:tr>
      <w:tr w:rsidR="0091635E" w:rsidRPr="005C3381" w:rsidTr="005C3381">
        <w:tc>
          <w:tcPr>
            <w:tcW w:w="5508" w:type="dxa"/>
            <w:shd w:val="clear" w:color="auto" w:fill="auto"/>
            <w:vAlign w:val="center"/>
          </w:tcPr>
          <w:p w:rsidR="0091635E" w:rsidRPr="00B57075" w:rsidRDefault="0091635E" w:rsidP="005C33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570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10. </w:t>
            </w:r>
            <w:r w:rsidR="007969FA" w:rsidRPr="007969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Планування </w:t>
            </w:r>
            <w:proofErr w:type="spellStart"/>
            <w:r w:rsidR="007969FA" w:rsidRPr="007969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освітньо-фандрайзингових</w:t>
            </w:r>
            <w:proofErr w:type="spellEnd"/>
            <w:r w:rsidR="007969FA" w:rsidRPr="007969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кампаній. Освітній </w:t>
            </w:r>
            <w:proofErr w:type="spellStart"/>
            <w:r w:rsidR="007969FA" w:rsidRPr="007969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ендаумент</w:t>
            </w:r>
            <w:proofErr w:type="spellEnd"/>
          </w:p>
        </w:tc>
        <w:tc>
          <w:tcPr>
            <w:tcW w:w="9100" w:type="dxa"/>
            <w:shd w:val="clear" w:color="auto" w:fill="auto"/>
          </w:tcPr>
          <w:p w:rsidR="007969FA" w:rsidRDefault="007969FA" w:rsidP="007969FA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1. </w:t>
            </w:r>
            <w:r w:rsidRPr="007969FA">
              <w:rPr>
                <w:color w:val="333333"/>
                <w:lang w:val="uk-UA"/>
              </w:rPr>
              <w:t xml:space="preserve">Поняття про освітні </w:t>
            </w:r>
            <w:proofErr w:type="spellStart"/>
            <w:r w:rsidRPr="007969FA">
              <w:rPr>
                <w:color w:val="333333"/>
                <w:lang w:val="uk-UA"/>
              </w:rPr>
              <w:t>ендаумент</w:t>
            </w:r>
            <w:proofErr w:type="spellEnd"/>
            <w:r w:rsidRPr="007969FA">
              <w:rPr>
                <w:color w:val="333333"/>
                <w:lang w:val="uk-UA"/>
              </w:rPr>
              <w:t xml:space="preserve">-фонди. </w:t>
            </w:r>
          </w:p>
          <w:p w:rsidR="007969FA" w:rsidRDefault="007969FA" w:rsidP="007969FA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2. </w:t>
            </w:r>
            <w:r w:rsidRPr="007969FA">
              <w:rPr>
                <w:color w:val="333333"/>
                <w:lang w:val="uk-UA"/>
              </w:rPr>
              <w:t>Спонсорський проект. Етапи визначення донорів.</w:t>
            </w:r>
          </w:p>
          <w:p w:rsidR="0091635E" w:rsidRDefault="007969FA" w:rsidP="007969FA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3.</w:t>
            </w:r>
            <w:r w:rsidRPr="007969FA">
              <w:rPr>
                <w:color w:val="333333"/>
                <w:lang w:val="uk-UA"/>
              </w:rPr>
              <w:t xml:space="preserve"> Основні причини участі спонсорів у проектах. 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D76412" w:rsidRDefault="000F4335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>
              <w:rPr>
                <w:color w:val="333333"/>
                <w:lang w:val="uk-UA"/>
              </w:rPr>
              <w:t>Методологія та методи наукових досліджень</w:t>
            </w:r>
          </w:p>
        </w:tc>
        <w:tc>
          <w:tcPr>
            <w:tcW w:w="8021" w:type="dxa"/>
            <w:vAlign w:val="center"/>
          </w:tcPr>
          <w:p w:rsidR="00E2256D" w:rsidRPr="000F4335" w:rsidRDefault="005C3381" w:rsidP="007F3C73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0F4335">
              <w:rPr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8710C2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0C2" w:rsidRDefault="001C173A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Технологія наукових досліджень</w:t>
            </w:r>
          </w:p>
        </w:tc>
        <w:tc>
          <w:tcPr>
            <w:tcW w:w="8021" w:type="dxa"/>
            <w:vAlign w:val="center"/>
          </w:tcPr>
          <w:p w:rsidR="008710C2" w:rsidRPr="000F4335" w:rsidRDefault="008710C2" w:rsidP="008710C2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>
              <w:rPr>
                <w:color w:val="000000"/>
                <w:kern w:val="24"/>
                <w:sz w:val="24"/>
              </w:rPr>
              <w:t xml:space="preserve">Опрацювання алгоритму написання наукової статті або тез доповіді 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0F4335" w:rsidRDefault="000F4335" w:rsidP="001C173A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0F43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Участь в наукових </w:t>
            </w:r>
            <w:proofErr w:type="spellStart"/>
            <w:r w:rsidRPr="000F43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про</w:t>
            </w:r>
            <w:r w:rsidR="001C173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є</w:t>
            </w:r>
            <w:r w:rsidRPr="000F43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ктах</w:t>
            </w:r>
            <w:proofErr w:type="spellEnd"/>
            <w:r w:rsidRPr="000F43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грантах, програмах академічної мобільності</w:t>
            </w:r>
          </w:p>
        </w:tc>
        <w:tc>
          <w:tcPr>
            <w:tcW w:w="8021" w:type="dxa"/>
            <w:vAlign w:val="center"/>
          </w:tcPr>
          <w:p w:rsidR="00E2256D" w:rsidRPr="000F4335" w:rsidRDefault="001C173A" w:rsidP="007F3C73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Обґрунтування вибору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або гранту. </w:t>
            </w:r>
            <w:r w:rsidR="005C3381" w:rsidRPr="000F4335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тестових завдань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D76412" w:rsidRDefault="000F4335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Особливості </w:t>
            </w:r>
            <w:proofErr w:type="spellStart"/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проєктної</w:t>
            </w:r>
            <w:proofErr w:type="spellEnd"/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діяльність 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навчальних закладах</w:t>
            </w:r>
          </w:p>
        </w:tc>
        <w:tc>
          <w:tcPr>
            <w:tcW w:w="8021" w:type="dxa"/>
            <w:vAlign w:val="center"/>
          </w:tcPr>
          <w:p w:rsidR="00E2256D" w:rsidRPr="000F4335" w:rsidRDefault="005C3381" w:rsidP="007F3C73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F4335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D76412" w:rsidRDefault="000F4335" w:rsidP="007F3C7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proofErr w:type="spellStart"/>
            <w:r w:rsidRPr="003E4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сфері освіти</w:t>
            </w:r>
          </w:p>
        </w:tc>
        <w:tc>
          <w:tcPr>
            <w:tcW w:w="8021" w:type="dxa"/>
            <w:vAlign w:val="center"/>
          </w:tcPr>
          <w:p w:rsidR="009D1B6E" w:rsidRPr="000F4335" w:rsidRDefault="001C173A" w:rsidP="008710C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 </w:t>
            </w:r>
            <w:r w:rsidR="005C3381" w:rsidRPr="000F4335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Обговорення теми. </w:t>
            </w:r>
            <w:r w:rsidR="008710C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Виконання </w:t>
            </w:r>
            <w:proofErr w:type="spellStart"/>
            <w:r w:rsidR="008710C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проєктного</w:t>
            </w:r>
            <w:proofErr w:type="spellEnd"/>
            <w:r w:rsidR="008710C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завдання. </w:t>
            </w:r>
            <w:r w:rsidR="005C3381" w:rsidRPr="000F4335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тестових завдань</w:t>
            </w:r>
          </w:p>
        </w:tc>
      </w:tr>
      <w:tr w:rsidR="000F4335" w:rsidRPr="005C3381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335" w:rsidRPr="003E4046" w:rsidRDefault="000F4335" w:rsidP="000F43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3B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Класифікація проектів. Технологія реалізації методу проектів. Етапи проекту</w:t>
            </w:r>
          </w:p>
        </w:tc>
        <w:tc>
          <w:tcPr>
            <w:tcW w:w="8021" w:type="dxa"/>
          </w:tcPr>
          <w:p w:rsidR="000F4335" w:rsidRDefault="008710C2" w:rsidP="000F4335"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="001C173A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Обговорення теми. </w:t>
            </w:r>
            <w:r w:rsidR="001C173A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Проведення аналізу етапів </w:t>
            </w:r>
            <w:proofErr w:type="spellStart"/>
            <w:r w:rsidR="001C173A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проєкту</w:t>
            </w:r>
            <w:proofErr w:type="spellEnd"/>
            <w:r w:rsidR="001C173A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тестових завдань</w:t>
            </w:r>
          </w:p>
        </w:tc>
      </w:tr>
      <w:tr w:rsidR="000F4335" w:rsidRPr="005C3381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335" w:rsidRPr="007969FA" w:rsidRDefault="00B57075" w:rsidP="000F43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Теорія і технологія реалізації інвестиційних </w:t>
            </w:r>
            <w:proofErr w:type="spellStart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проєктів</w:t>
            </w:r>
            <w:proofErr w:type="spellEnd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практиці</w:t>
            </w:r>
          </w:p>
        </w:tc>
        <w:tc>
          <w:tcPr>
            <w:tcW w:w="8021" w:type="dxa"/>
          </w:tcPr>
          <w:p w:rsidR="000F4335" w:rsidRDefault="008710C2" w:rsidP="000F4335"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Обговорення теми.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Оцінка ефективності інвестиційного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тестових завдань</w:t>
            </w:r>
          </w:p>
        </w:tc>
      </w:tr>
      <w:tr w:rsidR="000F4335" w:rsidRPr="005C3381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335" w:rsidRPr="00903B1E" w:rsidRDefault="007969FA" w:rsidP="000F43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Планування </w:t>
            </w:r>
            <w:proofErr w:type="spellStart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освітньо-фандрайзингових</w:t>
            </w:r>
            <w:proofErr w:type="spellEnd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кампаній. Освітній </w:t>
            </w:r>
            <w:proofErr w:type="spellStart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ендаумент</w:t>
            </w:r>
            <w:proofErr w:type="spellEnd"/>
          </w:p>
        </w:tc>
        <w:tc>
          <w:tcPr>
            <w:tcW w:w="8021" w:type="dxa"/>
          </w:tcPr>
          <w:p w:rsidR="000F4335" w:rsidRDefault="008710C2" w:rsidP="000F4335"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Обговорення теми.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міні-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. </w:t>
            </w:r>
            <w:r w:rsidR="000F4335" w:rsidRPr="00677026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Виконання тестових завдань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69FA" w:rsidRDefault="007969FA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E56E4A" w:rsidRDefault="00E56E4A" w:rsidP="003D65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Сучасна наука та наукові дослідження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FA293C" w:rsidP="0049711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highlight w:val="yellow"/>
              </w:rPr>
            </w:pPr>
            <w:r w:rsidRPr="00FA293C">
              <w:rPr>
                <w:lang w:val="uk-UA"/>
              </w:rPr>
              <w:t>Вимоги до наукових знань. Відносні та абсолютні знання.</w:t>
            </w:r>
            <w:r>
              <w:t xml:space="preserve"> </w:t>
            </w:r>
            <w:r w:rsidRPr="00FA293C">
              <w:rPr>
                <w:lang w:val="uk-UA"/>
              </w:rPr>
              <w:t>Основні наукові терміни: абстрагування, аксіома, аналіз, аргумент, аспект, верифікація, дефініція, гіпотеза, закон, детермінізм, дедукція, індукція, критерій, методика, методологія, порівняння, резюме, синтез, теза, теорія, узагальнення, факти, цитата.</w:t>
            </w:r>
            <w:r>
              <w:t xml:space="preserve"> </w:t>
            </w:r>
            <w:r w:rsidRPr="00FA293C">
              <w:rPr>
                <w:lang w:val="uk-UA"/>
              </w:rPr>
              <w:t>Принципи детермінізму, симетрії, верифікації, наслідування, комплексності, варіативності, відповідності, системності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E4A" w:rsidRPr="00E56E4A" w:rsidRDefault="00E56E4A" w:rsidP="00E56E4A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E56E4A">
              <w:rPr>
                <w:color w:val="333333"/>
                <w:lang w:val="uk-UA"/>
              </w:rPr>
              <w:t>Методологія та методи наукових досліджень</w:t>
            </w:r>
          </w:p>
          <w:p w:rsidR="003D6582" w:rsidRPr="00E56E4A" w:rsidRDefault="003D6582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FA293C" w:rsidP="0049711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Пізнавальні прийоми та форми наукових досліджень.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порівняння, метод моделювання, метод формалізації, системний підхід, синтез, критичний аналіз. Емпіричні методи. Методи економічного дослідження.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E56E4A" w:rsidRDefault="00E56E4A" w:rsidP="003D658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E56E4A">
              <w:rPr>
                <w:color w:val="333333"/>
                <w:lang w:val="uk-UA"/>
              </w:rPr>
              <w:t>Технологія наукових досліджень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FA293C" w:rsidP="0049711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A293C">
              <w:rPr>
                <w:rFonts w:ascii="Times New Roman" w:hAnsi="Times New Roman" w:cs="Times New Roman"/>
                <w:sz w:val="24"/>
                <w:szCs w:val="24"/>
              </w:rPr>
              <w:t>Визначення робочої гіпотези.</w:t>
            </w:r>
            <w:r w:rsidR="0049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1B" w:rsidRPr="00FA293C">
              <w:rPr>
                <w:rFonts w:ascii="Times New Roman" w:hAnsi="Times New Roman" w:cs="Times New Roman"/>
                <w:sz w:val="24"/>
                <w:szCs w:val="24"/>
              </w:rPr>
              <w:t>Актуальність, значущість та практична цінність наукових результатів. Новизна наукових досліджень. Відповідати профілю наукового колективу.</w:t>
            </w:r>
            <w:r w:rsidR="0049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1B" w:rsidRPr="00FA293C">
              <w:rPr>
                <w:rFonts w:ascii="Times New Roman" w:hAnsi="Times New Roman" w:cs="Times New Roman"/>
                <w:sz w:val="24"/>
                <w:szCs w:val="24"/>
              </w:rPr>
              <w:t>Експеримент в наукових дослідженнях. Вимоги до оформлення звіту про наукове дослідження. Публікація результатів дослідження.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E56E4A" w:rsidRDefault="00E56E4A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E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Академічна доброчесність в наукових дослідженнях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49711B" w:rsidP="003D6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Законодавчий базис академічної доброчесності: основні положення Законів України «Про вищу освіту», «Про освіту». Комітет з питань етики НАЗЯВО.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Фабрикація, фальсифікація, списування, обман, необ’єктивне оцінювання як окремі випадки прояву академічної </w:t>
            </w:r>
            <w:proofErr w:type="spellStart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недоброчесності</w:t>
            </w:r>
            <w:proofErr w:type="spellEnd"/>
            <w:r w:rsidRPr="00497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42710F" w:rsidRDefault="0042710F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1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Участь в наукових проектах, грантах, програмах академічної мобільності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A22825" w:rsidP="003D658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Спільні міжнародні наукові проекти під егідою МОН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Програми академічної мобільності: програма ERASMUS+, програма 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Mitacs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Globalink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Internship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програма Німецької служби академічних обмінів DAAD, програма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Fulbright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A22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ін. Участь в конкурсах, щодо фінансування академічної мобільності.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42710F" w:rsidRDefault="009A0B87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Особливості </w:t>
            </w:r>
            <w:proofErr w:type="spellStart"/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проєктної</w:t>
            </w:r>
            <w:proofErr w:type="spellEnd"/>
            <w:r w:rsidRPr="00B84A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діяльність 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навчальних закладах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B84A53" w:rsidP="00FA7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Соціальна суб'єктність та інновації. Установки та ідеали при конструюванні майбутнього. Форми конструювання майбутнього. Життєва концепція як стратегічна основа створення та реалізації </w:t>
            </w:r>
            <w:proofErr w:type="spellStart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Ціннісно</w:t>
            </w:r>
            <w:proofErr w:type="spellEnd"/>
            <w:r w:rsidR="00FA7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нормативна система </w:t>
            </w:r>
            <w:proofErr w:type="spellStart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Установки та ідеали при конструюванні майбутнього. </w:t>
            </w:r>
            <w:proofErr w:type="spellStart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Псевдопроєкти</w:t>
            </w:r>
            <w:proofErr w:type="spellEnd"/>
            <w:r w:rsidRPr="00B8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D76412" w:rsidRDefault="009A0B87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4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сфері освіти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0F4335" w:rsidP="003D6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Аналіз проблеми фінансування освіти в Україні. </w:t>
            </w:r>
            <w:proofErr w:type="spellStart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Фандрайзинг</w:t>
            </w:r>
            <w:proofErr w:type="spellEnd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як технологія пошуку та залучення додаткових інвестицій в освіту. Відмінності між </w:t>
            </w:r>
            <w:proofErr w:type="spellStart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фандрайзингом</w:t>
            </w:r>
            <w:proofErr w:type="spellEnd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 пошуком інвестицій( проектний та оперативний </w:t>
            </w:r>
            <w:proofErr w:type="spellStart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фандрайзинг</w:t>
            </w:r>
            <w:proofErr w:type="spellEnd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). Умови реалізації </w:t>
            </w:r>
            <w:proofErr w:type="spellStart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фандрайзингу</w:t>
            </w:r>
            <w:proofErr w:type="spellEnd"/>
            <w:r w:rsidRPr="000F4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658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D76412" w:rsidRDefault="00903B1E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B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Класифікація проектів. Технологія реалізації методу проектів. Етапи проекту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D76412" w:rsidRDefault="000F4335" w:rsidP="003D6582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  <w:highlight w:val="yellow"/>
              </w:rPr>
            </w:pPr>
            <w:r w:rsidRPr="00903B1E">
              <w:rPr>
                <w:sz w:val="24"/>
              </w:rPr>
              <w:t>Характеристика основних методів проектування та конструювання.</w:t>
            </w:r>
          </w:p>
        </w:tc>
      </w:tr>
      <w:tr w:rsidR="00E56E4A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E4A" w:rsidRPr="00B57075" w:rsidRDefault="00B57075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Теорія і технологія реалізації інвестиційних </w:t>
            </w:r>
            <w:proofErr w:type="spellStart"/>
            <w:r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проєктів</w:t>
            </w:r>
            <w:proofErr w:type="spellEnd"/>
            <w:r w:rsidRPr="00B57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практиці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4A" w:rsidRPr="00D76412" w:rsidRDefault="007969FA" w:rsidP="003D6582">
            <w:pPr>
              <w:pStyle w:val="a9"/>
              <w:tabs>
                <w:tab w:val="num" w:pos="360"/>
              </w:tabs>
              <w:spacing w:before="0" w:line="240" w:lineRule="auto"/>
              <w:rPr>
                <w:sz w:val="24"/>
                <w:highlight w:val="yellow"/>
              </w:rPr>
            </w:pPr>
            <w:r w:rsidRPr="007969FA">
              <w:rPr>
                <w:sz w:val="24"/>
              </w:rPr>
              <w:t xml:space="preserve">Привабливість інвестиційного проекту. Етичні питання організації освітнього </w:t>
            </w:r>
            <w:proofErr w:type="spellStart"/>
            <w:r w:rsidRPr="007969FA">
              <w:rPr>
                <w:sz w:val="24"/>
              </w:rPr>
              <w:t>фандрайзингу</w:t>
            </w:r>
            <w:proofErr w:type="spellEnd"/>
            <w:r w:rsidRPr="007969FA">
              <w:rPr>
                <w:sz w:val="24"/>
              </w:rPr>
              <w:t>. Пошук спонсорів.</w:t>
            </w:r>
          </w:p>
        </w:tc>
      </w:tr>
      <w:tr w:rsidR="00E56E4A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E4A" w:rsidRPr="00D76412" w:rsidRDefault="007969FA" w:rsidP="003D65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Планування </w:t>
            </w:r>
            <w:proofErr w:type="spellStart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освітньо-фандрайзингових</w:t>
            </w:r>
            <w:proofErr w:type="spellEnd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кампаній. Освітній </w:t>
            </w:r>
            <w:proofErr w:type="spellStart"/>
            <w:r w:rsidRPr="0079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ендаумент</w:t>
            </w:r>
            <w:proofErr w:type="spellEnd"/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4A" w:rsidRPr="007969FA" w:rsidRDefault="007969FA" w:rsidP="007969FA">
            <w:pPr>
              <w:pStyle w:val="a9"/>
              <w:tabs>
                <w:tab w:val="num" w:pos="360"/>
              </w:tabs>
              <w:spacing w:before="0" w:line="240" w:lineRule="auto"/>
              <w:jc w:val="both"/>
              <w:rPr>
                <w:sz w:val="24"/>
                <w:highlight w:val="yellow"/>
              </w:rPr>
            </w:pPr>
            <w:r w:rsidRPr="007969FA">
              <w:rPr>
                <w:color w:val="333333"/>
                <w:sz w:val="24"/>
              </w:rPr>
              <w:t xml:space="preserve">Матеріально-технічне забезпечення </w:t>
            </w:r>
            <w:proofErr w:type="spellStart"/>
            <w:r w:rsidRPr="007969FA">
              <w:rPr>
                <w:color w:val="333333"/>
                <w:sz w:val="24"/>
              </w:rPr>
              <w:t>освітньо-фандрайзингових</w:t>
            </w:r>
            <w:proofErr w:type="spellEnd"/>
            <w:r w:rsidRPr="007969FA">
              <w:rPr>
                <w:color w:val="333333"/>
                <w:sz w:val="24"/>
              </w:rPr>
              <w:t xml:space="preserve"> кампаній, сучасні технології проведення кампаній.  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3F5F43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563C0B" w:rsidRPr="00703393" w:rsidRDefault="00703393" w:rsidP="00703393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lastRenderedPageBreak/>
        <w:t xml:space="preserve">1.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Бушуєв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 С.Д.,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Бушуєв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 Д.А., Ярошенко Р.Ф. Управління проектами в умовах «поведінкової економіки» . Управління розвитком складних систем. 2018. № 33. С. 26 – 30.</w:t>
      </w:r>
    </w:p>
    <w:p w:rsidR="00357A0E" w:rsidRPr="00703393" w:rsidRDefault="00703393" w:rsidP="00703393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2. </w:t>
      </w:r>
      <w:r w:rsidR="002C5A5B" w:rsidRPr="00703393">
        <w:rPr>
          <w:rFonts w:eastAsia="Times New Roman"/>
          <w:szCs w:val="24"/>
          <w:lang w:val="uk-UA" w:eastAsia="ru-RU"/>
        </w:rPr>
        <w:t xml:space="preserve">Галан О. Є. Концептуальні аспекти управління ризиками інноваційних проектів та персоналом при впровадженні енергоефективних технологій. Маркетинг і менеджмент інновацій. 2018. № 1. С. 196–206.  </w:t>
      </w:r>
    </w:p>
    <w:p w:rsidR="00703393" w:rsidRPr="00703393" w:rsidRDefault="00D126F2" w:rsidP="00703393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3</w:t>
      </w:r>
      <w:r w:rsidR="00703393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Корягін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 xml:space="preserve"> М. В.,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Чік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 xml:space="preserve"> М. Ю. Основи наукових досліджень. Навчальний посібник. 2-ге вид.. К.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Алерта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>, 2019. 492 с.</w:t>
      </w:r>
    </w:p>
    <w:p w:rsidR="00357A0E" w:rsidRPr="00703393" w:rsidRDefault="00D126F2" w:rsidP="00703393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4</w:t>
      </w:r>
      <w:r w:rsidR="00703393">
        <w:rPr>
          <w:rFonts w:eastAsia="Times New Roman"/>
          <w:szCs w:val="24"/>
          <w:lang w:val="uk-UA" w:eastAsia="ru-RU"/>
        </w:rPr>
        <w:t>.</w:t>
      </w:r>
      <w:r w:rsidR="00357A0E" w:rsidRPr="00703393">
        <w:rPr>
          <w:rFonts w:eastAsia="Times New Roman"/>
          <w:szCs w:val="24"/>
          <w:lang w:val="uk-UA" w:eastAsia="ru-RU"/>
        </w:rPr>
        <w:t xml:space="preserve">  </w:t>
      </w:r>
      <w:r w:rsidR="00563C0B" w:rsidRPr="00703393">
        <w:rPr>
          <w:rFonts w:eastAsia="Times New Roman"/>
          <w:szCs w:val="24"/>
          <w:lang w:val="uk-UA" w:eastAsia="ru-RU"/>
        </w:rPr>
        <w:t>Приймак В. М.</w:t>
      </w:r>
      <w:r w:rsidR="00703393">
        <w:rPr>
          <w:rFonts w:eastAsia="Times New Roman"/>
          <w:szCs w:val="24"/>
          <w:lang w:val="uk-UA" w:eastAsia="ru-RU"/>
        </w:rPr>
        <w:t xml:space="preserve"> </w:t>
      </w:r>
      <w:r w:rsidR="00563C0B" w:rsidRPr="00703393">
        <w:rPr>
          <w:rFonts w:eastAsia="Times New Roman"/>
          <w:szCs w:val="24"/>
          <w:lang w:val="uk-UA" w:eastAsia="ru-RU"/>
        </w:rPr>
        <w:t xml:space="preserve">Управління проектами. Збірник кейсів [Електронний ресурс] :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навч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посіб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>. / В. М. Приймак. К.: Київський</w:t>
      </w:r>
      <w:r w:rsidR="00703393">
        <w:rPr>
          <w:rFonts w:eastAsia="Times New Roman"/>
          <w:szCs w:val="24"/>
          <w:lang w:val="uk-UA" w:eastAsia="ru-RU"/>
        </w:rPr>
        <w:t xml:space="preserve"> </w:t>
      </w:r>
      <w:r w:rsidR="00563C0B" w:rsidRPr="00703393">
        <w:rPr>
          <w:rFonts w:eastAsia="Times New Roman"/>
          <w:szCs w:val="24"/>
          <w:lang w:val="uk-UA" w:eastAsia="ru-RU"/>
        </w:rPr>
        <w:t>національний університет імені Тараса Шевченка,</w:t>
      </w:r>
      <w:r w:rsidR="00AD7570">
        <w:rPr>
          <w:rFonts w:eastAsia="Times New Roman"/>
          <w:szCs w:val="24"/>
          <w:lang w:val="uk-UA" w:eastAsia="ru-RU"/>
        </w:rPr>
        <w:t xml:space="preserve"> </w:t>
      </w:r>
      <w:r w:rsidR="00563C0B" w:rsidRPr="00703393">
        <w:rPr>
          <w:rFonts w:eastAsia="Times New Roman"/>
          <w:szCs w:val="24"/>
          <w:lang w:val="uk-UA" w:eastAsia="ru-RU"/>
        </w:rPr>
        <w:t>2020. 220с.</w:t>
      </w:r>
    </w:p>
    <w:p w:rsidR="00563C0B" w:rsidRPr="00703393" w:rsidRDefault="00D126F2" w:rsidP="00703393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5</w:t>
      </w:r>
      <w:r w:rsidR="00563C0B" w:rsidRPr="00703393">
        <w:rPr>
          <w:rFonts w:eastAsia="Times New Roman"/>
          <w:szCs w:val="24"/>
          <w:lang w:val="uk-UA" w:eastAsia="ru-RU"/>
        </w:rPr>
        <w:t xml:space="preserve">. Проектний менеджмент для інноваційного розвитку освітніх організацій України : навчальний посібник /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Рябова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 З.В., Єрмоленко А.Б.,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Махиня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 Т.А. за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заг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. ред. академіка Олійника В.В., маг </w:t>
      </w:r>
      <w:proofErr w:type="spellStart"/>
      <w:r w:rsidR="00563C0B" w:rsidRPr="00703393">
        <w:rPr>
          <w:rFonts w:eastAsia="Times New Roman"/>
          <w:szCs w:val="24"/>
          <w:lang w:val="uk-UA" w:eastAsia="ru-RU"/>
        </w:rPr>
        <w:t>Фреха</w:t>
      </w:r>
      <w:proofErr w:type="spellEnd"/>
      <w:r w:rsidR="00563C0B" w:rsidRPr="00703393">
        <w:rPr>
          <w:rFonts w:eastAsia="Times New Roman"/>
          <w:szCs w:val="24"/>
          <w:lang w:val="uk-UA" w:eastAsia="ru-RU"/>
        </w:rPr>
        <w:t xml:space="preserve"> В. НАПН України, Культур</w:t>
      </w:r>
      <w:r w:rsidR="00703393">
        <w:rPr>
          <w:rFonts w:eastAsia="Times New Roman"/>
          <w:szCs w:val="24"/>
          <w:lang w:val="uk-UA" w:eastAsia="ru-RU"/>
        </w:rPr>
        <w:t xml:space="preserve"> </w:t>
      </w:r>
      <w:r w:rsidR="00563C0B" w:rsidRPr="00703393">
        <w:rPr>
          <w:rFonts w:eastAsia="Times New Roman"/>
          <w:szCs w:val="24"/>
          <w:lang w:val="uk-UA" w:eastAsia="ru-RU"/>
        </w:rPr>
        <w:t>Контакт Австрія, 2016. 118 с.</w:t>
      </w:r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</w:p>
    <w:p w:rsidR="00703393" w:rsidRPr="00703393" w:rsidRDefault="00D126F2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6</w:t>
      </w:r>
      <w:r w:rsidR="00703393" w:rsidRPr="00703393">
        <w:rPr>
          <w:rFonts w:eastAsia="Times New Roman"/>
          <w:szCs w:val="24"/>
          <w:lang w:val="uk-UA" w:eastAsia="ru-RU"/>
        </w:rPr>
        <w:t xml:space="preserve">. Терещук Г.В.,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Алексієвець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 xml:space="preserve"> М.М.,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Алексієвець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 xml:space="preserve"> Л.М. Наукові дослідження:</w:t>
      </w:r>
      <w:r>
        <w:rPr>
          <w:rFonts w:eastAsia="Times New Roman"/>
          <w:szCs w:val="24"/>
          <w:lang w:val="uk-UA" w:eastAsia="ru-RU"/>
        </w:rPr>
        <w:t xml:space="preserve"> </w:t>
      </w:r>
      <w:r w:rsidR="00703393" w:rsidRPr="00703393">
        <w:rPr>
          <w:rFonts w:eastAsia="Times New Roman"/>
          <w:szCs w:val="24"/>
          <w:lang w:val="uk-UA" w:eastAsia="ru-RU"/>
        </w:rPr>
        <w:t xml:space="preserve">теорія та організація // Навчальний посібник для студентів. 4-е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випр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 xml:space="preserve">. та </w:t>
      </w:r>
      <w:proofErr w:type="spellStart"/>
      <w:r w:rsidR="00703393" w:rsidRPr="00703393">
        <w:rPr>
          <w:rFonts w:eastAsia="Times New Roman"/>
          <w:szCs w:val="24"/>
          <w:lang w:val="uk-UA" w:eastAsia="ru-RU"/>
        </w:rPr>
        <w:t>доп</w:t>
      </w:r>
      <w:proofErr w:type="spellEnd"/>
      <w:r w:rsidR="00703393" w:rsidRPr="00703393">
        <w:rPr>
          <w:rFonts w:eastAsia="Times New Roman"/>
          <w:szCs w:val="24"/>
          <w:lang w:val="uk-UA" w:eastAsia="ru-RU"/>
        </w:rPr>
        <w:t>. видання. Тернопіль: Вектор, 2013. 362 с.</w:t>
      </w:r>
    </w:p>
    <w:p w:rsidR="00357A0E" w:rsidRPr="00703393" w:rsidRDefault="00D126F2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7</w:t>
      </w:r>
      <w:r w:rsidR="00703393" w:rsidRPr="00703393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Yemini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M.,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Oplatka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I,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Sagie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N. Project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Management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in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Schools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: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New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Conceptualizations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,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Orientations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,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and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Applications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="00357A0E" w:rsidRPr="00703393">
        <w:rPr>
          <w:rFonts w:eastAsia="Times New Roman"/>
          <w:szCs w:val="24"/>
          <w:lang w:val="uk-UA" w:eastAsia="ru-RU"/>
        </w:rPr>
        <w:t>Cham</w:t>
      </w:r>
      <w:proofErr w:type="spellEnd"/>
      <w:r w:rsidR="00357A0E" w:rsidRPr="00703393">
        <w:rPr>
          <w:rFonts w:eastAsia="Times New Roman"/>
          <w:szCs w:val="24"/>
          <w:lang w:val="uk-UA" w:eastAsia="ru-RU"/>
        </w:rPr>
        <w:t xml:space="preserve">, 2018. 134 p.  </w:t>
      </w:r>
    </w:p>
    <w:p w:rsidR="00563C0B" w:rsidRPr="00703393" w:rsidRDefault="00563C0B" w:rsidP="00703393">
      <w:pPr>
        <w:pStyle w:val="110"/>
        <w:widowControl/>
        <w:suppressAutoHyphens w:val="0"/>
        <w:spacing w:line="240" w:lineRule="auto"/>
        <w:ind w:firstLine="0"/>
        <w:rPr>
          <w:rFonts w:eastAsia="Times New Roman"/>
          <w:szCs w:val="24"/>
          <w:lang w:val="uk-UA" w:eastAsia="ru-RU"/>
        </w:rPr>
      </w:pPr>
      <w:r w:rsidRPr="00703393">
        <w:rPr>
          <w:rFonts w:eastAsia="Times New Roman"/>
          <w:szCs w:val="24"/>
          <w:lang w:val="uk-UA" w:eastAsia="ru-RU"/>
        </w:rPr>
        <w:t>/</w:t>
      </w:r>
    </w:p>
    <w:p w:rsidR="00357A0E" w:rsidRDefault="00357A0E" w:rsidP="00357A0E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3F5F43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0932BD" w:rsidRPr="00AD7570" w:rsidRDefault="002C5A5B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1. Управління проектами і </w:t>
      </w:r>
      <w:proofErr w:type="spellStart"/>
      <w:r w:rsidRPr="00AD7570">
        <w:rPr>
          <w:rFonts w:eastAsia="Times New Roman"/>
          <w:szCs w:val="24"/>
          <w:lang w:val="uk-UA" w:eastAsia="ru-RU"/>
        </w:rPr>
        <w:t>фандрайзинг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 у сфері освіти: навчально-методичний посібник до курсу / </w:t>
      </w:r>
      <w:proofErr w:type="spellStart"/>
      <w:r w:rsidRPr="00AD7570">
        <w:rPr>
          <w:rFonts w:eastAsia="Times New Roman"/>
          <w:szCs w:val="24"/>
          <w:lang w:val="uk-UA" w:eastAsia="ru-RU"/>
        </w:rPr>
        <w:t>авт</w:t>
      </w:r>
      <w:proofErr w:type="spellEnd"/>
      <w:r w:rsidRPr="00AD7570">
        <w:rPr>
          <w:rFonts w:eastAsia="Times New Roman"/>
          <w:szCs w:val="24"/>
          <w:lang w:val="uk-UA" w:eastAsia="ru-RU"/>
        </w:rPr>
        <w:t>.-</w:t>
      </w:r>
      <w:proofErr w:type="spellStart"/>
      <w:r w:rsidRPr="00AD7570">
        <w:rPr>
          <w:rFonts w:eastAsia="Times New Roman"/>
          <w:szCs w:val="24"/>
          <w:lang w:val="uk-UA" w:eastAsia="ru-RU"/>
        </w:rPr>
        <w:t>упоряд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Pr="00AD7570">
        <w:rPr>
          <w:rFonts w:eastAsia="Times New Roman"/>
          <w:szCs w:val="24"/>
          <w:lang w:val="uk-UA" w:eastAsia="ru-RU"/>
        </w:rPr>
        <w:t>І.В.Єгорова</w:t>
      </w:r>
      <w:proofErr w:type="spellEnd"/>
      <w:r w:rsidRPr="00AD7570">
        <w:rPr>
          <w:rFonts w:eastAsia="Times New Roman"/>
          <w:szCs w:val="24"/>
          <w:lang w:val="uk-UA" w:eastAsia="ru-RU"/>
        </w:rPr>
        <w:t>. Івано-Франківськ, 2021. 140 с.</w:t>
      </w:r>
      <w:r w:rsidR="000932BD" w:rsidRPr="00AD7570">
        <w:rPr>
          <w:rFonts w:eastAsia="Times New Roman"/>
          <w:szCs w:val="24"/>
          <w:lang w:val="uk-UA" w:eastAsia="ru-RU"/>
        </w:rPr>
        <w:t xml:space="preserve"> </w:t>
      </w:r>
    </w:p>
    <w:p w:rsidR="00AD7570" w:rsidRDefault="000932BD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2. </w:t>
      </w:r>
      <w:r w:rsidR="00AD7570" w:rsidRPr="00AD7570">
        <w:rPr>
          <w:rFonts w:eastAsia="Times New Roman"/>
          <w:szCs w:val="24"/>
          <w:lang w:val="uk-UA" w:eastAsia="ru-RU"/>
        </w:rPr>
        <w:t xml:space="preserve">Інновації у вищій освіті: вітчизняний і зарубіжний досвід: </w:t>
      </w:r>
      <w:proofErr w:type="spellStart"/>
      <w:r w:rsidR="00AD7570" w:rsidRPr="00AD7570">
        <w:rPr>
          <w:rFonts w:eastAsia="Times New Roman"/>
          <w:szCs w:val="24"/>
          <w:lang w:val="uk-UA" w:eastAsia="ru-RU"/>
        </w:rPr>
        <w:t>навч</w:t>
      </w:r>
      <w:proofErr w:type="spellEnd"/>
      <w:r w:rsidR="00AD7570" w:rsidRPr="00AD7570">
        <w:rPr>
          <w:rFonts w:eastAsia="Times New Roman"/>
          <w:szCs w:val="24"/>
          <w:lang w:val="uk-UA" w:eastAsia="ru-RU"/>
        </w:rPr>
        <w:t xml:space="preserve">. посібник / І. В. </w:t>
      </w:r>
      <w:proofErr w:type="spellStart"/>
      <w:r w:rsidR="00AD7570" w:rsidRPr="00AD7570">
        <w:rPr>
          <w:rFonts w:eastAsia="Times New Roman"/>
          <w:szCs w:val="24"/>
          <w:lang w:val="uk-UA" w:eastAsia="ru-RU"/>
        </w:rPr>
        <w:t>Артьомов</w:t>
      </w:r>
      <w:proofErr w:type="spellEnd"/>
      <w:r w:rsidR="00AD7570" w:rsidRPr="00AD7570">
        <w:rPr>
          <w:rFonts w:eastAsia="Times New Roman"/>
          <w:szCs w:val="24"/>
          <w:lang w:val="uk-UA" w:eastAsia="ru-RU"/>
        </w:rPr>
        <w:t xml:space="preserve">, І. П. </w:t>
      </w:r>
      <w:proofErr w:type="spellStart"/>
      <w:r w:rsidR="00AD7570" w:rsidRPr="00AD7570">
        <w:rPr>
          <w:rFonts w:eastAsia="Times New Roman"/>
          <w:szCs w:val="24"/>
          <w:lang w:val="uk-UA" w:eastAsia="ru-RU"/>
        </w:rPr>
        <w:t>Студеняк</w:t>
      </w:r>
      <w:proofErr w:type="spellEnd"/>
      <w:r w:rsidR="00AD7570" w:rsidRPr="00AD7570">
        <w:rPr>
          <w:rFonts w:eastAsia="Times New Roman"/>
          <w:szCs w:val="24"/>
          <w:lang w:val="uk-UA" w:eastAsia="ru-RU"/>
        </w:rPr>
        <w:t>, Й. Й. Головач, А. В. Гусь. – Ужгород: ПП «АУТДОР-ШАРК», 2015. – 348 с.</w:t>
      </w:r>
    </w:p>
    <w:p w:rsidR="00A364DE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3. </w:t>
      </w:r>
      <w:r w:rsidR="000932BD" w:rsidRPr="00AD7570">
        <w:rPr>
          <w:rFonts w:eastAsia="Times New Roman"/>
          <w:szCs w:val="24"/>
          <w:lang w:val="uk-UA" w:eastAsia="ru-RU"/>
        </w:rPr>
        <w:t>Практичний посібник з оцінки державних інфраструктурних інвестиційних проектів [Електронний ресурс]. – Режим доступу : http://regionet.org.ua/files/CBA_manual_SSRD_2011_ua.pdf.</w:t>
      </w:r>
    </w:p>
    <w:p w:rsidR="000932BD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4</w:t>
      </w:r>
      <w:r w:rsidR="000932BD" w:rsidRPr="00AD7570">
        <w:rPr>
          <w:rFonts w:eastAsia="Times New Roman"/>
          <w:szCs w:val="24"/>
          <w:lang w:val="uk-UA" w:eastAsia="ru-RU"/>
        </w:rPr>
        <w:t>.  Приймак В. М. Управління проектами. Навчальний посібник. К.: Київський національний університет імені Тараса Шевченка, 2017. 464с. URL :  file:///C:/Users/Dell/Downloads/PM_web.pdf</w:t>
      </w:r>
    </w:p>
    <w:p w:rsidR="000932BD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5</w:t>
      </w:r>
      <w:r w:rsidR="000932BD" w:rsidRPr="00AD7570">
        <w:rPr>
          <w:rFonts w:eastAsia="Times New Roman"/>
          <w:szCs w:val="24"/>
          <w:lang w:val="uk-UA" w:eastAsia="ru-RU"/>
        </w:rPr>
        <w:t xml:space="preserve">. </w:t>
      </w:r>
      <w:proofErr w:type="spellStart"/>
      <w:r w:rsidR="000932BD" w:rsidRPr="00AD7570">
        <w:rPr>
          <w:rFonts w:eastAsia="Times New Roman"/>
          <w:szCs w:val="24"/>
          <w:lang w:val="uk-UA" w:eastAsia="ru-RU"/>
        </w:rPr>
        <w:t>Хаджирадєва</w:t>
      </w:r>
      <w:proofErr w:type="spellEnd"/>
      <w:r w:rsidR="000932BD" w:rsidRPr="00AD7570">
        <w:rPr>
          <w:rFonts w:eastAsia="Times New Roman"/>
          <w:szCs w:val="24"/>
          <w:lang w:val="uk-UA" w:eastAsia="ru-RU"/>
        </w:rPr>
        <w:t xml:space="preserve"> С. К. Проектний аналіз та прийняття рішень: </w:t>
      </w:r>
      <w:proofErr w:type="spellStart"/>
      <w:r w:rsidR="000932BD" w:rsidRPr="00AD7570">
        <w:rPr>
          <w:rFonts w:eastAsia="Times New Roman"/>
          <w:szCs w:val="24"/>
          <w:lang w:val="uk-UA" w:eastAsia="ru-RU"/>
        </w:rPr>
        <w:t>навч</w:t>
      </w:r>
      <w:proofErr w:type="spellEnd"/>
      <w:r w:rsidR="000932BD" w:rsidRPr="00AD7570">
        <w:rPr>
          <w:rFonts w:eastAsia="Times New Roman"/>
          <w:szCs w:val="24"/>
          <w:lang w:val="uk-UA" w:eastAsia="ru-RU"/>
        </w:rPr>
        <w:t xml:space="preserve">. посібник // С. К.  </w:t>
      </w:r>
      <w:proofErr w:type="spellStart"/>
      <w:r w:rsidR="000932BD" w:rsidRPr="00AD7570">
        <w:rPr>
          <w:rFonts w:eastAsia="Times New Roman"/>
          <w:szCs w:val="24"/>
          <w:lang w:val="uk-UA" w:eastAsia="ru-RU"/>
        </w:rPr>
        <w:t>Хаджирадєва</w:t>
      </w:r>
      <w:proofErr w:type="spellEnd"/>
      <w:r w:rsidR="000932BD" w:rsidRPr="00AD7570">
        <w:rPr>
          <w:rFonts w:eastAsia="Times New Roman"/>
          <w:szCs w:val="24"/>
          <w:lang w:val="uk-UA" w:eastAsia="ru-RU"/>
        </w:rPr>
        <w:t xml:space="preserve">, Н. І. </w:t>
      </w:r>
      <w:proofErr w:type="spellStart"/>
      <w:r w:rsidR="000932BD" w:rsidRPr="00AD7570">
        <w:rPr>
          <w:rFonts w:eastAsia="Times New Roman"/>
          <w:szCs w:val="24"/>
          <w:lang w:val="uk-UA" w:eastAsia="ru-RU"/>
        </w:rPr>
        <w:t>Обушна</w:t>
      </w:r>
      <w:proofErr w:type="spellEnd"/>
      <w:r w:rsidR="000932BD" w:rsidRPr="00AD7570">
        <w:rPr>
          <w:rFonts w:eastAsia="Times New Roman"/>
          <w:szCs w:val="24"/>
          <w:lang w:val="uk-UA" w:eastAsia="ru-RU"/>
        </w:rPr>
        <w:t>. – Київ: Вид-во «</w:t>
      </w:r>
      <w:proofErr w:type="spellStart"/>
      <w:r w:rsidR="000932BD" w:rsidRPr="00AD7570">
        <w:rPr>
          <w:rFonts w:eastAsia="Times New Roman"/>
          <w:szCs w:val="24"/>
          <w:lang w:val="uk-UA" w:eastAsia="ru-RU"/>
        </w:rPr>
        <w:t>Каравелла</w:t>
      </w:r>
      <w:proofErr w:type="spellEnd"/>
      <w:r w:rsidR="000932BD" w:rsidRPr="00AD7570">
        <w:rPr>
          <w:rFonts w:eastAsia="Times New Roman"/>
          <w:szCs w:val="24"/>
          <w:lang w:val="uk-UA" w:eastAsia="ru-RU"/>
        </w:rPr>
        <w:t>», 2018. – 270 с.</w:t>
      </w:r>
    </w:p>
    <w:p w:rsidR="00361AFF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6</w:t>
      </w:r>
      <w:r w:rsidR="00361AFF" w:rsidRPr="00AD7570">
        <w:rPr>
          <w:rFonts w:eastAsia="Times New Roman"/>
          <w:szCs w:val="24"/>
          <w:lang w:val="uk-UA" w:eastAsia="ru-RU"/>
        </w:rPr>
        <w:t xml:space="preserve">. Управління </w:t>
      </w:r>
      <w:proofErr w:type="spellStart"/>
      <w:r w:rsidR="00361AFF" w:rsidRPr="00AD7570">
        <w:rPr>
          <w:rFonts w:eastAsia="Times New Roman"/>
          <w:szCs w:val="24"/>
          <w:lang w:val="uk-UA" w:eastAsia="ru-RU"/>
        </w:rPr>
        <w:t>проєктами</w:t>
      </w:r>
      <w:proofErr w:type="spellEnd"/>
      <w:r w:rsidR="00361AFF" w:rsidRPr="00AD7570">
        <w:rPr>
          <w:rFonts w:eastAsia="Times New Roman"/>
          <w:szCs w:val="24"/>
          <w:lang w:val="uk-UA" w:eastAsia="ru-RU"/>
        </w:rPr>
        <w:t xml:space="preserve">: </w:t>
      </w:r>
      <w:proofErr w:type="spellStart"/>
      <w:r w:rsidR="00361AFF" w:rsidRPr="00AD7570">
        <w:rPr>
          <w:rFonts w:eastAsia="Times New Roman"/>
          <w:szCs w:val="24"/>
          <w:lang w:val="uk-UA" w:eastAsia="ru-RU"/>
        </w:rPr>
        <w:t>навч</w:t>
      </w:r>
      <w:proofErr w:type="spellEnd"/>
      <w:r w:rsidR="00361AFF" w:rsidRPr="00AD7570">
        <w:rPr>
          <w:rFonts w:eastAsia="Times New Roman"/>
          <w:szCs w:val="24"/>
          <w:lang w:val="uk-UA" w:eastAsia="ru-RU"/>
        </w:rPr>
        <w:t>. посібник. Львів: Львівський державний університет внутрішніх справ, 2021. 152 с.</w:t>
      </w:r>
    </w:p>
    <w:p w:rsidR="00AD7570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7. </w:t>
      </w:r>
      <w:r w:rsidRPr="00AD7570">
        <w:rPr>
          <w:rFonts w:eastAsia="Times New Roman"/>
          <w:szCs w:val="24"/>
          <w:lang w:val="uk-UA" w:eastAsia="ru-RU"/>
        </w:rPr>
        <w:t>Швець Ф.Д. Методологія та організація наукових досліджень : навчальний посібник. Рівне: НУВГП, 2016. 151 с.</w:t>
      </w:r>
    </w:p>
    <w:p w:rsidR="00B5581C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703393">
        <w:rPr>
          <w:rFonts w:eastAsia="Times New Roman"/>
          <w:szCs w:val="24"/>
          <w:lang w:val="uk-UA" w:eastAsia="ru-RU"/>
        </w:rPr>
        <w:t xml:space="preserve">8. </w:t>
      </w:r>
      <w:proofErr w:type="spellStart"/>
      <w:r w:rsidRPr="00703393">
        <w:rPr>
          <w:rFonts w:eastAsia="Times New Roman"/>
          <w:szCs w:val="24"/>
          <w:lang w:val="uk-UA" w:eastAsia="ru-RU"/>
        </w:rPr>
        <w:t>Ways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to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Apply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Project </w:t>
      </w:r>
      <w:proofErr w:type="spellStart"/>
      <w:r w:rsidRPr="00703393">
        <w:rPr>
          <w:rFonts w:eastAsia="Times New Roman"/>
          <w:szCs w:val="24"/>
          <w:lang w:val="uk-UA" w:eastAsia="ru-RU"/>
        </w:rPr>
        <w:t>Management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Methods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in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Your</w:t>
      </w:r>
      <w:proofErr w:type="spellEnd"/>
      <w:r w:rsidRPr="00703393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703393">
        <w:rPr>
          <w:rFonts w:eastAsia="Times New Roman"/>
          <w:szCs w:val="24"/>
          <w:lang w:val="uk-UA" w:eastAsia="ru-RU"/>
        </w:rPr>
        <w:t>School</w:t>
      </w:r>
      <w:proofErr w:type="spellEnd"/>
      <w:r w:rsidRPr="00703393">
        <w:rPr>
          <w:rFonts w:eastAsia="Times New Roman"/>
          <w:szCs w:val="24"/>
          <w:lang w:val="uk-UA" w:eastAsia="ru-RU"/>
        </w:rPr>
        <w:t>. URL:  https://www.meistertask.com/blog/5ways-apply-project-management-in-school</w:t>
      </w:r>
    </w:p>
    <w:p w:rsidR="00AD7570" w:rsidRPr="00AD7570" w:rsidRDefault="00AD7570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</w:p>
    <w:p w:rsidR="00A364DE" w:rsidRPr="00A364DE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DE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Default="00A364DE" w:rsidP="00A364DE">
      <w:pPr>
        <w:shd w:val="clear" w:color="auto" w:fill="FFFFFF"/>
        <w:jc w:val="both"/>
      </w:pP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94B61">
        <w:rPr>
          <w:color w:val="333333"/>
          <w:szCs w:val="24"/>
          <w:lang w:val="en-US"/>
        </w:rPr>
        <w:t xml:space="preserve">1. </w:t>
      </w:r>
      <w:proofErr w:type="spellStart"/>
      <w:r w:rsidRPr="00AD7570">
        <w:rPr>
          <w:rFonts w:eastAsia="Times New Roman"/>
          <w:szCs w:val="24"/>
          <w:lang w:val="uk-UA" w:eastAsia="ru-RU"/>
        </w:rPr>
        <w:t>Funding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 &amp; </w:t>
      </w:r>
      <w:proofErr w:type="spellStart"/>
      <w:r w:rsidRPr="00AD7570">
        <w:rPr>
          <w:rFonts w:eastAsia="Times New Roman"/>
          <w:szCs w:val="24"/>
          <w:lang w:val="uk-UA" w:eastAsia="ru-RU"/>
        </w:rPr>
        <w:t>tender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AD7570">
        <w:rPr>
          <w:rFonts w:eastAsia="Times New Roman"/>
          <w:szCs w:val="24"/>
          <w:lang w:val="uk-UA" w:eastAsia="ru-RU"/>
        </w:rPr>
        <w:t>opportunities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. URL: https://ec.europa.eu/info/fundingtenders/opportunities/portal/screen/home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2. House of Europe. URL: </w:t>
      </w:r>
      <w:hyperlink r:id="rId5" w:history="1">
        <w:r w:rsidRPr="00AD7570">
          <w:rPr>
            <w:rFonts w:eastAsia="Times New Roman"/>
            <w:lang w:val="uk-UA" w:eastAsia="ru-RU"/>
          </w:rPr>
          <w:t>https://houseofeurope.org.ua/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3. Project Management Institute. URL: </w:t>
      </w:r>
      <w:hyperlink r:id="rId6" w:history="1">
        <w:r w:rsidRPr="00AD7570">
          <w:rPr>
            <w:rFonts w:eastAsia="Times New Roman"/>
            <w:lang w:val="uk-UA" w:eastAsia="ru-RU"/>
          </w:rPr>
          <w:t>www.pmi.org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4. Велика ідея. URL: </w:t>
      </w:r>
      <w:hyperlink r:id="rId7" w:history="1">
        <w:r w:rsidRPr="00AD7570">
          <w:rPr>
            <w:rFonts w:eastAsia="Times New Roman"/>
            <w:lang w:val="uk-UA" w:eastAsia="ru-RU"/>
          </w:rPr>
          <w:t>https://biggggidea.com/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5. Міжнародний фонд «Відродження». URL: </w:t>
      </w:r>
      <w:hyperlink r:id="rId8" w:history="1">
        <w:r w:rsidRPr="00AD7570">
          <w:rPr>
            <w:rFonts w:eastAsia="Times New Roman"/>
            <w:lang w:val="uk-UA" w:eastAsia="ru-RU"/>
          </w:rPr>
          <w:t>https://www.irf.ua/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lastRenderedPageBreak/>
        <w:t xml:space="preserve">6. Міжнародні програми, проекти і гранти. URL: </w:t>
      </w:r>
      <w:hyperlink r:id="rId9" w:anchor="pere" w:history="1">
        <w:r w:rsidRPr="00AD7570">
          <w:rPr>
            <w:rFonts w:eastAsia="Times New Roman"/>
            <w:lang w:val="uk-UA" w:eastAsia="ru-RU"/>
          </w:rPr>
          <w:t>http://te-rada.org/?id=306#pere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7. Міністерство освіти і науки України. URL: </w:t>
      </w:r>
      <w:hyperlink r:id="rId10" w:history="1">
        <w:r w:rsidRPr="00AD7570">
          <w:rPr>
            <w:rFonts w:eastAsia="Times New Roman"/>
            <w:lang w:val="uk-UA" w:eastAsia="ru-RU"/>
          </w:rPr>
          <w:t>https://mon.gov.ua/ua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8. Національний </w:t>
      </w:r>
      <w:proofErr w:type="spellStart"/>
      <w:r w:rsidRPr="00AD7570">
        <w:rPr>
          <w:rFonts w:eastAsia="Times New Roman"/>
          <w:szCs w:val="24"/>
          <w:lang w:val="uk-UA" w:eastAsia="ru-RU"/>
        </w:rPr>
        <w:t>Еразмус</w:t>
      </w:r>
      <w:proofErr w:type="spellEnd"/>
      <w:r w:rsidRPr="00AD7570">
        <w:rPr>
          <w:rFonts w:eastAsia="Times New Roman"/>
          <w:szCs w:val="24"/>
          <w:lang w:val="uk-UA" w:eastAsia="ru-RU"/>
        </w:rPr>
        <w:t xml:space="preserve">+ офіс в Україні. URL: </w:t>
      </w:r>
      <w:hyperlink r:id="rId11" w:history="1">
        <w:r w:rsidRPr="00AD7570">
          <w:rPr>
            <w:rFonts w:eastAsia="Times New Roman"/>
            <w:lang w:val="uk-UA" w:eastAsia="ru-RU"/>
          </w:rPr>
          <w:t>https://erasmusplus.org.ua/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9. Оголошення про програми і гранти / Посольство США в Україні. URL: </w:t>
      </w:r>
      <w:hyperlink r:id="rId12" w:history="1">
        <w:r w:rsidRPr="00AD7570">
          <w:rPr>
            <w:rFonts w:eastAsia="Times New Roman"/>
            <w:lang w:val="uk-UA" w:eastAsia="ru-RU"/>
          </w:rPr>
          <w:t>https://ua.usembassy.gov/uk/education-culture-uk/current-programs-grants-uk/</w:t>
        </w:r>
      </w:hyperlink>
      <w:r w:rsidRPr="00AD7570">
        <w:rPr>
          <w:rFonts w:eastAsia="Times New Roman"/>
          <w:szCs w:val="24"/>
          <w:lang w:val="uk-UA" w:eastAsia="ru-RU"/>
        </w:rPr>
        <w:t xml:space="preserve"> </w:t>
      </w:r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10. Ресурсний центр ГУРТ. URL: </w:t>
      </w:r>
      <w:hyperlink r:id="rId13" w:history="1">
        <w:r w:rsidRPr="00AD7570">
          <w:rPr>
            <w:rFonts w:eastAsia="Times New Roman"/>
            <w:lang w:val="uk-UA" w:eastAsia="ru-RU"/>
          </w:rPr>
          <w:t>https://gurt.org.ua/</w:t>
        </w:r>
      </w:hyperlink>
    </w:p>
    <w:p w:rsidR="00357A0E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 xml:space="preserve">11. Український культурний фонд. URL: https://ucf.in.ua/ </w:t>
      </w:r>
    </w:p>
    <w:p w:rsidR="00DF168D" w:rsidRPr="00AD7570" w:rsidRDefault="00357A0E" w:rsidP="00AD7570">
      <w:pPr>
        <w:pStyle w:val="110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AD7570">
        <w:rPr>
          <w:rFonts w:eastAsia="Times New Roman"/>
          <w:szCs w:val="24"/>
          <w:lang w:val="uk-UA" w:eastAsia="ru-RU"/>
        </w:rPr>
        <w:t>12. Фонд сприяння демократії Посольства США. URL: https://ua.usembassy.gov/uk/educationculture-uk/democracy-grants-uk/</w:t>
      </w:r>
    </w:p>
    <w:sectPr w:rsidR="00DF168D" w:rsidRPr="00AD7570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8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9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1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4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3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6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9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2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3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7"/>
  </w:num>
  <w:num w:numId="5">
    <w:abstractNumId w:val="3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2"/>
  </w:num>
  <w:num w:numId="12">
    <w:abstractNumId w:val="28"/>
  </w:num>
  <w:num w:numId="13">
    <w:abstractNumId w:val="22"/>
  </w:num>
  <w:num w:numId="14">
    <w:abstractNumId w:val="25"/>
  </w:num>
  <w:num w:numId="15">
    <w:abstractNumId w:val="15"/>
  </w:num>
  <w:num w:numId="16">
    <w:abstractNumId w:val="14"/>
  </w:num>
  <w:num w:numId="17">
    <w:abstractNumId w:val="30"/>
  </w:num>
  <w:num w:numId="18">
    <w:abstractNumId w:val="3"/>
  </w:num>
  <w:num w:numId="19">
    <w:abstractNumId w:val="21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  <w:num w:numId="31">
    <w:abstractNumId w:val="0"/>
  </w:num>
  <w:num w:numId="32">
    <w:abstractNumId w:val="1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932BD"/>
    <w:rsid w:val="00094A05"/>
    <w:rsid w:val="000A57B9"/>
    <w:rsid w:val="000B19B1"/>
    <w:rsid w:val="000F2FBA"/>
    <w:rsid w:val="000F4335"/>
    <w:rsid w:val="00114234"/>
    <w:rsid w:val="00122D2C"/>
    <w:rsid w:val="001235CF"/>
    <w:rsid w:val="0013521C"/>
    <w:rsid w:val="00154AB0"/>
    <w:rsid w:val="00166851"/>
    <w:rsid w:val="001750D2"/>
    <w:rsid w:val="00185477"/>
    <w:rsid w:val="00194746"/>
    <w:rsid w:val="001A4F71"/>
    <w:rsid w:val="001B47C4"/>
    <w:rsid w:val="001C173A"/>
    <w:rsid w:val="001C6EF5"/>
    <w:rsid w:val="001F26FB"/>
    <w:rsid w:val="002318CB"/>
    <w:rsid w:val="00264084"/>
    <w:rsid w:val="0028068B"/>
    <w:rsid w:val="00287AD4"/>
    <w:rsid w:val="002962FA"/>
    <w:rsid w:val="002C5A5B"/>
    <w:rsid w:val="002E1898"/>
    <w:rsid w:val="00302B0A"/>
    <w:rsid w:val="00310769"/>
    <w:rsid w:val="00312469"/>
    <w:rsid w:val="00357A0E"/>
    <w:rsid w:val="00361AFF"/>
    <w:rsid w:val="003A3FBF"/>
    <w:rsid w:val="003D2C7A"/>
    <w:rsid w:val="003D6582"/>
    <w:rsid w:val="003E2A43"/>
    <w:rsid w:val="003E4046"/>
    <w:rsid w:val="003E524F"/>
    <w:rsid w:val="003E6000"/>
    <w:rsid w:val="003F5F43"/>
    <w:rsid w:val="00405857"/>
    <w:rsid w:val="0042710F"/>
    <w:rsid w:val="00443A93"/>
    <w:rsid w:val="00466905"/>
    <w:rsid w:val="004733DC"/>
    <w:rsid w:val="00477F82"/>
    <w:rsid w:val="0049711B"/>
    <w:rsid w:val="004B67D8"/>
    <w:rsid w:val="004D639E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52E2D"/>
    <w:rsid w:val="005538BE"/>
    <w:rsid w:val="00563C0B"/>
    <w:rsid w:val="00575B5A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23379"/>
    <w:rsid w:val="00662E6E"/>
    <w:rsid w:val="0066554A"/>
    <w:rsid w:val="0066594F"/>
    <w:rsid w:val="00671805"/>
    <w:rsid w:val="00675B26"/>
    <w:rsid w:val="00696EF8"/>
    <w:rsid w:val="006B3963"/>
    <w:rsid w:val="006B580D"/>
    <w:rsid w:val="006D20FD"/>
    <w:rsid w:val="006E354B"/>
    <w:rsid w:val="006E3686"/>
    <w:rsid w:val="00703393"/>
    <w:rsid w:val="00707E06"/>
    <w:rsid w:val="0071029E"/>
    <w:rsid w:val="00715FA2"/>
    <w:rsid w:val="007326CF"/>
    <w:rsid w:val="00747A2B"/>
    <w:rsid w:val="007814F0"/>
    <w:rsid w:val="00784D53"/>
    <w:rsid w:val="00785FEA"/>
    <w:rsid w:val="0079141D"/>
    <w:rsid w:val="007969F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710C2"/>
    <w:rsid w:val="008A136E"/>
    <w:rsid w:val="008A4B7E"/>
    <w:rsid w:val="008C48E8"/>
    <w:rsid w:val="008C6DD0"/>
    <w:rsid w:val="00903B1E"/>
    <w:rsid w:val="00911A25"/>
    <w:rsid w:val="0091635E"/>
    <w:rsid w:val="00917392"/>
    <w:rsid w:val="00924828"/>
    <w:rsid w:val="00956F95"/>
    <w:rsid w:val="00975998"/>
    <w:rsid w:val="00980C90"/>
    <w:rsid w:val="009958DA"/>
    <w:rsid w:val="009A0B87"/>
    <w:rsid w:val="009A196F"/>
    <w:rsid w:val="009A1A5B"/>
    <w:rsid w:val="009A6534"/>
    <w:rsid w:val="009D1B6E"/>
    <w:rsid w:val="009F321E"/>
    <w:rsid w:val="009F7E07"/>
    <w:rsid w:val="00A004FE"/>
    <w:rsid w:val="00A01C4C"/>
    <w:rsid w:val="00A13AC9"/>
    <w:rsid w:val="00A22825"/>
    <w:rsid w:val="00A364DE"/>
    <w:rsid w:val="00A404E9"/>
    <w:rsid w:val="00A516E2"/>
    <w:rsid w:val="00A55D6A"/>
    <w:rsid w:val="00A8357F"/>
    <w:rsid w:val="00AD7570"/>
    <w:rsid w:val="00AE387A"/>
    <w:rsid w:val="00AF7A80"/>
    <w:rsid w:val="00B01F8D"/>
    <w:rsid w:val="00B5581C"/>
    <w:rsid w:val="00B57075"/>
    <w:rsid w:val="00B62BC8"/>
    <w:rsid w:val="00B66D78"/>
    <w:rsid w:val="00B747B9"/>
    <w:rsid w:val="00B83755"/>
    <w:rsid w:val="00B84A53"/>
    <w:rsid w:val="00B852D0"/>
    <w:rsid w:val="00BB313A"/>
    <w:rsid w:val="00C019B7"/>
    <w:rsid w:val="00C138A4"/>
    <w:rsid w:val="00C163E3"/>
    <w:rsid w:val="00C173A5"/>
    <w:rsid w:val="00C40BEB"/>
    <w:rsid w:val="00C40F01"/>
    <w:rsid w:val="00C7551A"/>
    <w:rsid w:val="00CF3BD3"/>
    <w:rsid w:val="00D05164"/>
    <w:rsid w:val="00D126F2"/>
    <w:rsid w:val="00D25BAC"/>
    <w:rsid w:val="00D37368"/>
    <w:rsid w:val="00D51592"/>
    <w:rsid w:val="00D76412"/>
    <w:rsid w:val="00DA5CC4"/>
    <w:rsid w:val="00DC79BC"/>
    <w:rsid w:val="00DF168D"/>
    <w:rsid w:val="00E02C8B"/>
    <w:rsid w:val="00E2256D"/>
    <w:rsid w:val="00E56E4A"/>
    <w:rsid w:val="00E60499"/>
    <w:rsid w:val="00E65592"/>
    <w:rsid w:val="00E81BA4"/>
    <w:rsid w:val="00E82A5A"/>
    <w:rsid w:val="00E94B61"/>
    <w:rsid w:val="00EA6BE2"/>
    <w:rsid w:val="00EC149B"/>
    <w:rsid w:val="00EE0286"/>
    <w:rsid w:val="00F006E3"/>
    <w:rsid w:val="00F05837"/>
    <w:rsid w:val="00F07376"/>
    <w:rsid w:val="00F170E7"/>
    <w:rsid w:val="00F276E6"/>
    <w:rsid w:val="00F60EAB"/>
    <w:rsid w:val="00F66BB8"/>
    <w:rsid w:val="00F71416"/>
    <w:rsid w:val="00F82EF4"/>
    <w:rsid w:val="00FA293C"/>
    <w:rsid w:val="00FA7FE3"/>
    <w:rsid w:val="00FB1289"/>
    <w:rsid w:val="00FB6DF7"/>
    <w:rsid w:val="00FD2DEC"/>
    <w:rsid w:val="00FE3BA5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C6C96D1-4D92-43A2-9B02-968BC35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10">
    <w:name w:val="Обычный1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FA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f.ua/" TargetMode="External"/><Relationship Id="rId13" Type="http://schemas.openxmlformats.org/officeDocument/2006/relationships/hyperlink" Target="https://gurt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gggidea.com/" TargetMode="External"/><Relationship Id="rId12" Type="http://schemas.openxmlformats.org/officeDocument/2006/relationships/hyperlink" Target="https://ua.usembassy.gov/uk/education-culture-uk/current-programs-grants-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i.org" TargetMode="External"/><Relationship Id="rId11" Type="http://schemas.openxmlformats.org/officeDocument/2006/relationships/hyperlink" Target="https://erasmusplus.org.ua/" TargetMode="External"/><Relationship Id="rId5" Type="http://schemas.openxmlformats.org/officeDocument/2006/relationships/hyperlink" Target="https://houseofeurope.org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-rada.org/?id=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12</Pages>
  <Words>2727</Words>
  <Characters>19856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22538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User Windows</cp:lastModifiedBy>
  <cp:revision>1</cp:revision>
  <cp:lastPrinted>2019-09-08T11:00:00Z</cp:lastPrinted>
  <dcterms:created xsi:type="dcterms:W3CDTF">2020-09-09T07:13:00Z</dcterms:created>
  <dcterms:modified xsi:type="dcterms:W3CDTF">2023-10-17T06:57:00Z</dcterms:modified>
</cp:coreProperties>
</file>